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11" w:rsidRPr="00246977" w:rsidRDefault="00BF0D11" w:rsidP="00BF0D11">
      <w:pPr>
        <w:pStyle w:val="Heading2"/>
        <w:spacing w:after="14" w:line="252" w:lineRule="auto"/>
        <w:ind w:left="0" w:right="234" w:firstLine="0"/>
        <w:rPr>
          <w:rFonts w:ascii="Times New Roman" w:hAnsi="Times New Roman" w:cs="Times New Roman"/>
          <w:i/>
          <w:lang w:val="el-GR"/>
        </w:rPr>
      </w:pPr>
      <w:bookmarkStart w:id="0" w:name="_Toc33538862"/>
      <w:r w:rsidRPr="00246977">
        <w:rPr>
          <w:rFonts w:ascii="Times New Roman" w:hAnsi="Times New Roman" w:cs="Times New Roman"/>
          <w:color w:val="001F5F"/>
          <w:lang w:val="el-GR"/>
        </w:rPr>
        <w:t>ΠΑΡΑΡΤΗΜΑ</w:t>
      </w:r>
      <w:r w:rsidRPr="00246977">
        <w:rPr>
          <w:rFonts w:ascii="Times New Roman" w:hAnsi="Times New Roman" w:cs="Times New Roman"/>
          <w:color w:val="001F5F"/>
          <w:spacing w:val="-20"/>
          <w:lang w:val="el-GR"/>
        </w:rPr>
        <w:t xml:space="preserve"> ΙΙ</w:t>
      </w:r>
      <w:r w:rsidRPr="00246977">
        <w:rPr>
          <w:rFonts w:ascii="Times New Roman" w:hAnsi="Times New Roman" w:cs="Times New Roman"/>
          <w:color w:val="001F5F"/>
          <w:spacing w:val="-16"/>
          <w:lang w:val="el-GR"/>
        </w:rPr>
        <w:t xml:space="preserve"> </w:t>
      </w:r>
      <w:r w:rsidRPr="00246977">
        <w:rPr>
          <w:rFonts w:ascii="Times New Roman" w:hAnsi="Times New Roman" w:cs="Times New Roman"/>
          <w:color w:val="001F5F"/>
          <w:w w:val="105"/>
          <w:lang w:val="el-GR"/>
        </w:rPr>
        <w:t>–</w:t>
      </w:r>
      <w:bookmarkEnd w:id="0"/>
      <w:r w:rsidRPr="00246977">
        <w:rPr>
          <w:rFonts w:ascii="Times New Roman" w:hAnsi="Times New Roman" w:cs="Times New Roman"/>
          <w:color w:val="001F5F"/>
          <w:spacing w:val="-22"/>
          <w:w w:val="105"/>
          <w:lang w:val="el-GR"/>
        </w:rPr>
        <w:t xml:space="preserve"> </w:t>
      </w:r>
    </w:p>
    <w:p w:rsidR="00BF0D11" w:rsidRPr="00246977" w:rsidRDefault="00BF0D11" w:rsidP="00BF0D11">
      <w:pPr>
        <w:pStyle w:val="a3"/>
        <w:spacing w:line="30" w:lineRule="exact"/>
        <w:ind w:left="0"/>
        <w:rPr>
          <w:rFonts w:ascii="Times New Roman" w:hAnsi="Times New Roman" w:cs="Times New Roman"/>
          <w:sz w:val="24"/>
          <w:szCs w:val="24"/>
        </w:rPr>
      </w:pPr>
      <w:r w:rsidRPr="009F3BE2">
        <w:rPr>
          <w:rFonts w:ascii="Times New Roman" w:hAnsi="Times New Roman" w:cs="Times New Roman"/>
          <w:sz w:val="24"/>
          <w:szCs w:val="24"/>
        </w:rPr>
      </w:r>
      <w:r>
        <w:rPr>
          <w:rFonts w:ascii="Times New Roman" w:hAnsi="Times New Roman" w:cs="Times New Roman"/>
          <w:sz w:val="24"/>
          <w:szCs w:val="24"/>
        </w:rPr>
        <w:pict>
          <v:group id="_x0000_s1026" style="width:485.05pt;height:1.45pt;mso-position-horizontal-relative:char;mso-position-vertical-relative:line" coordsize="9701,29">
            <v:line id="_x0000_s1027" style="position:absolute" from="0,14" to="9700,14" strokecolor="navy" strokeweight="1.44pt"/>
            <w10:wrap type="none"/>
            <w10:anchorlock/>
          </v:group>
        </w:pict>
      </w:r>
    </w:p>
    <w:p w:rsidR="00BF0D11" w:rsidRPr="00246977" w:rsidRDefault="00BF0D11" w:rsidP="00BF0D11">
      <w:pPr>
        <w:widowControl/>
        <w:adjustRightInd w:val="0"/>
        <w:rPr>
          <w:rFonts w:ascii="Times New Roman" w:eastAsiaTheme="minorHAnsi" w:hAnsi="Times New Roman" w:cs="Times New Roman"/>
          <w:b/>
          <w:bCs/>
          <w:color w:val="000000"/>
          <w:sz w:val="24"/>
          <w:szCs w:val="24"/>
          <w:lang w:val="el-GR" w:bidi="ar-SA"/>
        </w:rPr>
      </w:pPr>
    </w:p>
    <w:p w:rsidR="00BF0D11" w:rsidRPr="00246977" w:rsidRDefault="00BF0D11" w:rsidP="00BF0D11">
      <w:pPr>
        <w:widowControl/>
        <w:adjustRightInd w:val="0"/>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 xml:space="preserve"> ΤΕΧΝΙΚΕΣ ΠΡΟΔΙΑΓΡΑΦΕΣ ΤΩΝ ΠΡΟΣ ΠΡΟΜΗΘΕΙΑ ΕΙΔΩΝ </w:t>
      </w:r>
    </w:p>
    <w:p w:rsidR="00BF0D11" w:rsidRPr="00246977" w:rsidRDefault="00BF0D11" w:rsidP="00BF0D11">
      <w:pPr>
        <w:widowControl/>
        <w:adjustRightInd w:val="0"/>
        <w:spacing w:after="40"/>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color w:val="000000"/>
          <w:sz w:val="24"/>
          <w:szCs w:val="24"/>
          <w:lang w:val="el-GR" w:bidi="ar-SA"/>
        </w:rPr>
        <w:t xml:space="preserve"> </w:t>
      </w:r>
    </w:p>
    <w:p w:rsidR="00BF0D11" w:rsidRPr="00246977" w:rsidRDefault="00BF0D11" w:rsidP="00BF0D11">
      <w:pPr>
        <w:spacing w:line="360" w:lineRule="auto"/>
        <w:jc w:val="both"/>
        <w:rPr>
          <w:rFonts w:ascii="Times New Roman" w:hAnsi="Times New Roman" w:cs="Times New Roman"/>
          <w:spacing w:val="2"/>
          <w:kern w:val="1"/>
          <w:sz w:val="24"/>
          <w:szCs w:val="24"/>
          <w:lang w:val="el-GR"/>
        </w:rPr>
      </w:pPr>
      <w:r w:rsidRPr="00246977">
        <w:rPr>
          <w:rFonts w:ascii="Times New Roman" w:hAnsi="Times New Roman" w:cs="Times New Roman"/>
          <w:spacing w:val="2"/>
          <w:kern w:val="1"/>
          <w:sz w:val="24"/>
          <w:szCs w:val="24"/>
          <w:lang w:val="el-GR"/>
        </w:rPr>
        <w:t>Οι προδιαγραφές των καυσίμων κίνησης και θέρμανσης που απαιτούνται για την κίνηση των οχημάτων καθώς και για τη θέρμανση των κτιρίων τα όπου στεγάζονται υπηρεσίες της Π.Ε. Κορινθίας και των λοιπών υπηρεσιών για τις οποίες διενεργείται ο εν λόγω διαγωνισμός, θα είναι σύμφωνες με την παρακάτω περιγραφή και χωρίς προσμίξεις με νερό ή άλλο καύσιμο, όπως άλλωστε ορίζονται από τα αρμόδια όργανα του κράτους.</w:t>
      </w:r>
    </w:p>
    <w:p w:rsidR="00BF0D11" w:rsidRPr="00246977" w:rsidRDefault="00BF0D11" w:rsidP="00BF0D11">
      <w:pPr>
        <w:spacing w:line="360" w:lineRule="auto"/>
        <w:jc w:val="both"/>
        <w:rPr>
          <w:rFonts w:ascii="Times New Roman" w:hAnsi="Times New Roman" w:cs="Times New Roman"/>
          <w:spacing w:val="2"/>
          <w:kern w:val="1"/>
          <w:sz w:val="24"/>
          <w:szCs w:val="24"/>
          <w:lang w:val="el-GR"/>
        </w:rPr>
      </w:pPr>
      <w:r w:rsidRPr="00246977">
        <w:rPr>
          <w:rFonts w:ascii="Times New Roman" w:hAnsi="Times New Roman" w:cs="Times New Roman"/>
          <w:spacing w:val="2"/>
          <w:kern w:val="1"/>
          <w:sz w:val="24"/>
          <w:szCs w:val="24"/>
          <w:lang w:val="el-GR"/>
        </w:rPr>
        <w:t>Τονίζεται ότι η αναθέτουσα αρχή διατηρεί το δικαίωμα να αποστέλλει δείγματα από τα καύσιμα στο Γενικό Χημείο του Κράτους, ώστε να ελέγχεται τόσο η ποιότητα όσο και το αν πληρούνται οι απαιτούμενες προδιαγραφές.</w:t>
      </w:r>
    </w:p>
    <w:p w:rsidR="00BF0D11" w:rsidRPr="00246977" w:rsidRDefault="00BF0D11" w:rsidP="00BF0D11">
      <w:pPr>
        <w:pStyle w:val="1"/>
        <w:shd w:val="clear" w:color="auto" w:fill="FFFFFF"/>
        <w:tabs>
          <w:tab w:val="left" w:pos="326"/>
        </w:tabs>
        <w:spacing w:before="120" w:line="360" w:lineRule="auto"/>
        <w:ind w:left="0"/>
        <w:jc w:val="center"/>
        <w:outlineLvl w:val="0"/>
        <w:rPr>
          <w:b/>
          <w:i/>
          <w:sz w:val="24"/>
          <w:szCs w:val="24"/>
          <w:u w:val="double"/>
        </w:rPr>
      </w:pPr>
    </w:p>
    <w:p w:rsidR="00BF0D11" w:rsidRPr="00246977" w:rsidRDefault="00BF0D11" w:rsidP="00BF0D11">
      <w:pPr>
        <w:widowControl/>
        <w:numPr>
          <w:ilvl w:val="0"/>
          <w:numId w:val="1"/>
        </w:numPr>
        <w:adjustRightInd w:val="0"/>
        <w:spacing w:line="360" w:lineRule="auto"/>
        <w:ind w:left="0" w:firstLine="0"/>
        <w:jc w:val="both"/>
        <w:rPr>
          <w:rFonts w:ascii="Times New Roman" w:hAnsi="Times New Roman" w:cs="Times New Roman"/>
          <w:b/>
          <w:bCs/>
          <w:sz w:val="24"/>
          <w:szCs w:val="24"/>
          <w:lang w:val="el-GR" w:eastAsia="el-GR"/>
        </w:rPr>
      </w:pPr>
      <w:r w:rsidRPr="00246977">
        <w:rPr>
          <w:rFonts w:ascii="Times New Roman" w:hAnsi="Times New Roman" w:cs="Times New Roman"/>
          <w:b/>
          <w:bCs/>
          <w:sz w:val="24"/>
          <w:szCs w:val="24"/>
          <w:lang w:val="el-GR" w:eastAsia="el-GR"/>
        </w:rPr>
        <w:t>Αμόλυβδη βενζίνη</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 xml:space="preserve">Η αμόλυβδη βενζίνη θα είναι κλάσμα πετρελαίου καθαρό, διαυγές και δε θα περιέχει νερό, ιζήματα, αιωρούμενα συστατικά ή άλλες ξένες ύλες. Η αμόλυβδη βενζίνη θα προσφέρεται με το φυσικό της χρώμα χωρίς προσθήκη οποιασδήποτε χρωστικής. Αυτή θα είναι σύμφωνη με τις διατάξεις της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147/2015/16 απόφασης των Υπ. Οικονομίας, Ανάπτυξης και Τουρισμού - Οικονομικών – Περιβάλλοντος και ενέργειας (ΦΕΚ 293 Β/12-02-2016) περί : Καυσίμων αυτοκινήτων - αμόλυβδης βενζίνης -απαιτήσεις και μέθοδοι δοκιμών.</w:t>
      </w:r>
    </w:p>
    <w:p w:rsidR="00BF0D11" w:rsidRPr="00246977" w:rsidRDefault="00BF0D11" w:rsidP="00BF0D11">
      <w:pPr>
        <w:widowControl/>
        <w:numPr>
          <w:ilvl w:val="0"/>
          <w:numId w:val="1"/>
        </w:numPr>
        <w:adjustRightInd w:val="0"/>
        <w:spacing w:line="360" w:lineRule="auto"/>
        <w:ind w:left="0" w:firstLine="0"/>
        <w:jc w:val="both"/>
        <w:rPr>
          <w:rFonts w:ascii="Times New Roman" w:hAnsi="Times New Roman" w:cs="Times New Roman"/>
          <w:b/>
          <w:bCs/>
          <w:sz w:val="24"/>
          <w:szCs w:val="24"/>
          <w:lang w:val="el-GR" w:eastAsia="el-GR"/>
        </w:rPr>
      </w:pPr>
      <w:r w:rsidRPr="00246977">
        <w:rPr>
          <w:rFonts w:ascii="Times New Roman" w:hAnsi="Times New Roman" w:cs="Times New Roman"/>
          <w:b/>
          <w:bCs/>
          <w:sz w:val="24"/>
          <w:szCs w:val="24"/>
          <w:lang w:val="el-GR" w:eastAsia="el-GR"/>
        </w:rPr>
        <w:t>Πετρέλαιο θέρμανσης</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 xml:space="preserve">Θα είναι μίγμα αποσταγμένου πετρελαίου και μπορεί να περιλαμβάνει και πρόσθετα για βελτίωση της απόδοσης. Θα είναι χρώματος κόκκινου με πετρελαιοειδή οσμή. Οι διαδικασίες χρωματισμού και </w:t>
      </w:r>
      <w:proofErr w:type="spellStart"/>
      <w:r w:rsidRPr="00246977">
        <w:rPr>
          <w:rFonts w:ascii="Times New Roman" w:hAnsi="Times New Roman" w:cs="Times New Roman"/>
          <w:sz w:val="24"/>
          <w:szCs w:val="24"/>
          <w:lang w:val="el-GR" w:eastAsia="el-GR"/>
        </w:rPr>
        <w:t>ιχνηθέτησης</w:t>
      </w:r>
      <w:proofErr w:type="spellEnd"/>
      <w:r w:rsidRPr="00246977">
        <w:rPr>
          <w:rFonts w:ascii="Times New Roman" w:hAnsi="Times New Roman" w:cs="Times New Roman"/>
          <w:sz w:val="24"/>
          <w:szCs w:val="24"/>
          <w:lang w:val="el-GR" w:eastAsia="el-GR"/>
        </w:rPr>
        <w:t xml:space="preserve"> του πετρελαίου θέρμανσης καθώς και οι προδιαγραφές και οι μέθοδοι ελέγχου της κηροζίνης θέρμανσης περιγράφονται στο ΦΕΚ 1273/Β/5-9-2003 (οι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xml:space="preserve">. 468/2002/2003 και 469/2002/2003 ΚΥΑ). Οι προδιαγραφές και οι μέθοδοι ελέγχου του πετρελαίου θέρμανσης καθορίζονται στην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467/2002/2003 ΚΥΑ (ΦΕΚ 1531β/16-10-2003).</w:t>
      </w:r>
    </w:p>
    <w:p w:rsidR="00BF0D11" w:rsidRPr="00246977" w:rsidRDefault="00BF0D11" w:rsidP="00BF0D11">
      <w:pPr>
        <w:widowControl/>
        <w:numPr>
          <w:ilvl w:val="0"/>
          <w:numId w:val="1"/>
        </w:numPr>
        <w:adjustRightInd w:val="0"/>
        <w:spacing w:line="360" w:lineRule="auto"/>
        <w:ind w:left="0" w:firstLine="0"/>
        <w:jc w:val="both"/>
        <w:rPr>
          <w:rFonts w:ascii="Times New Roman" w:hAnsi="Times New Roman" w:cs="Times New Roman"/>
          <w:b/>
          <w:bCs/>
          <w:sz w:val="24"/>
          <w:szCs w:val="24"/>
          <w:lang w:val="el-GR" w:eastAsia="el-GR"/>
        </w:rPr>
      </w:pPr>
      <w:r w:rsidRPr="00246977">
        <w:rPr>
          <w:rFonts w:ascii="Times New Roman" w:hAnsi="Times New Roman" w:cs="Times New Roman"/>
          <w:b/>
          <w:bCs/>
          <w:sz w:val="24"/>
          <w:szCs w:val="24"/>
          <w:lang w:val="el-GR" w:eastAsia="el-GR"/>
        </w:rPr>
        <w:t>Πετρέλαιο κίνησης</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Το πετρέλαιο κίνησης θα είναι μίγμα υδρογονανθράκων, καθαρό, διαυγές και δε θα περιέχει νερό ή άλλες ξένες ύλες σε ποσοστά μεγαλύτερα των προβλεπομένων.</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 xml:space="preserve">Οι υδρογονάνθρακες θα είναι αποστάγματα πετρελαίου ή προϊόν πυρολύσεως ή και </w:t>
      </w:r>
      <w:r w:rsidRPr="00246977">
        <w:rPr>
          <w:rFonts w:ascii="Times New Roman" w:hAnsi="Times New Roman" w:cs="Times New Roman"/>
          <w:sz w:val="24"/>
          <w:szCs w:val="24"/>
          <w:lang w:val="el-GR" w:eastAsia="el-GR"/>
        </w:rPr>
        <w:lastRenderedPageBreak/>
        <w:t xml:space="preserve">μίγματα αυτών σε σωστές αναλογίες. Το πετρέλαιο κίνησης θα φέρεται στην κατανάλωση με το φυσικό του χρώμα, την προσθήκη χρωστικών ουσιών ή ιχνηθέτη. Οι προδιαγραφές και οι μέθοδοι ελέγχου του πετρελαίου κίνησης περιγράφονται στην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355/2000/2001 Κοινή Υπουργική Απόφαση (ΦΕΚ 410Β/11-4-2001).</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Το πετρέλαιο θα καλύπτει τις προδιαγραφές που ορίζονται:</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 xml:space="preserve">α) Στην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76/2016/16 ΚΥΑ των Υπ. ΟΙΚΟΝΟΜΙΑΣ ΚΑΙ ΑΝΑΠΤΥΞΗΣ - ΟΙΚΟΝΟΜΙΚΩΝ - ΠΕΡΙΒΑΛΛΟΝΤΟΣ ΚΑΙ ΕΝΕΡΓΕΙΑΣ (ΦΕΚ 4217 Β/28-12-2016-Διορθ.σφαλμ. Στο ΦΕΚ 241 Β/2-2-17) περί : Πετρελαίου εσωτερικής καύσης (DIESEL) που χρησιμοποιείται ως καύσιμο κινητήρων – Απαιτήσεις και μέθοδοι δοκιμών.</w:t>
      </w:r>
    </w:p>
    <w:p w:rsidR="00BF0D11" w:rsidRPr="00246977" w:rsidRDefault="00BF0D11" w:rsidP="00BF0D11">
      <w:pPr>
        <w:adjustRightInd w:val="0"/>
        <w:spacing w:line="360" w:lineRule="auto"/>
        <w:jc w:val="both"/>
        <w:rPr>
          <w:rFonts w:ascii="Times New Roman" w:hAnsi="Times New Roman" w:cs="Times New Roman"/>
          <w:sz w:val="24"/>
          <w:szCs w:val="24"/>
          <w:lang w:val="el-GR" w:eastAsia="el-GR"/>
        </w:rPr>
      </w:pPr>
      <w:r w:rsidRPr="00246977">
        <w:rPr>
          <w:rFonts w:ascii="Times New Roman" w:hAnsi="Times New Roman" w:cs="Times New Roman"/>
          <w:sz w:val="24"/>
          <w:szCs w:val="24"/>
          <w:lang w:val="el-GR" w:eastAsia="el-GR"/>
        </w:rPr>
        <w:t xml:space="preserve">β) Στην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xml:space="preserve">. 316/2010/12 ΚΥΑ των Υπ. Οικονομικών - Ανάπτυξης, Ανταγωνιστικότητας και Ναυτιλίας - Περιβάλλοντος, Ενέργειας και Κλιματικής Αλλαγής – Προστασίας του Πολίτη (ΦΕΚ 501 Β/29-2-2012) :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 όπως τροποποιήθηκε με την υπ’ </w:t>
      </w:r>
      <w:proofErr w:type="spellStart"/>
      <w:r w:rsidRPr="00246977">
        <w:rPr>
          <w:rFonts w:ascii="Times New Roman" w:hAnsi="Times New Roman" w:cs="Times New Roman"/>
          <w:sz w:val="24"/>
          <w:szCs w:val="24"/>
          <w:lang w:val="el-GR" w:eastAsia="el-GR"/>
        </w:rPr>
        <w:t>αριθμ</w:t>
      </w:r>
      <w:proofErr w:type="spellEnd"/>
      <w:r w:rsidRPr="00246977">
        <w:rPr>
          <w:rFonts w:ascii="Times New Roman" w:hAnsi="Times New Roman" w:cs="Times New Roman"/>
          <w:sz w:val="24"/>
          <w:szCs w:val="24"/>
          <w:lang w:val="el-GR" w:eastAsia="el-GR"/>
        </w:rPr>
        <w:t>. 77/2016/16 ΚΥΑ (ΦΕΚ 4217 Β/28-12-2016) περί : Τροποποίησης της απόφασης ΑΧΣ 316/2010, (ΦΕΚ 501/Β/2012), «Προσαρμογή της ελληνικής νομοθεσίας στον τομέα της ποιότητας καυσίμων προς την οδηγία 2009/30/ΕΚ» με σκοπό τη μεταφορά στο εθνικό δίκαιο των διατάξεων της οδηγίας (ΕΕ) 2015/1513 που αφορούν την τροποποίηση των άρθρων της οδηγίας 98/70/ΕΚ σχετικά με την ποιότητα των καυσίμων βενζίνης και ντίζελ, εκτός των άρθρων 7α έως 7ε αυτής».</w:t>
      </w:r>
    </w:p>
    <w:p w:rsidR="00BF0D11" w:rsidRPr="00246977" w:rsidRDefault="00BF0D11" w:rsidP="00BF0D11">
      <w:pPr>
        <w:rPr>
          <w:rFonts w:ascii="Times New Roman" w:hAnsi="Times New Roman" w:cs="Times New Roman"/>
          <w:sz w:val="24"/>
          <w:szCs w:val="24"/>
          <w:lang w:val="el-GR"/>
        </w:rPr>
      </w:pPr>
    </w:p>
    <w:p w:rsidR="00BF0D11" w:rsidRPr="00246977" w:rsidRDefault="00BF0D11" w:rsidP="00BF0D11">
      <w:pPr>
        <w:widowControl/>
        <w:adjustRightInd w:val="0"/>
        <w:spacing w:after="40"/>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Σημειώνεται ότι:</w:t>
      </w:r>
    </w:p>
    <w:p w:rsidR="00BF0D11" w:rsidRPr="00246977" w:rsidRDefault="00BF0D11" w:rsidP="00BF0D11">
      <w:pPr>
        <w:widowControl/>
        <w:adjustRightInd w:val="0"/>
        <w:spacing w:after="40"/>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 xml:space="preserve">1)  </w:t>
      </w:r>
      <w:r w:rsidRPr="00246977">
        <w:rPr>
          <w:rFonts w:ascii="Times New Roman" w:eastAsiaTheme="minorHAnsi" w:hAnsi="Times New Roman" w:cs="Times New Roman"/>
          <w:color w:val="000000"/>
          <w:sz w:val="24"/>
          <w:szCs w:val="24"/>
          <w:lang w:val="el-GR" w:bidi="ar-SA"/>
        </w:rPr>
        <w:t xml:space="preserve">Οι προδιαγραφές των καυσίμων (φυσικά και χημικά χαρακτηριστικά) θα είναι σύμφωνες με τις εκάστοτε ισχύουσες διατάξεις. </w:t>
      </w:r>
    </w:p>
    <w:p w:rsidR="00BF0D11" w:rsidRPr="00246977" w:rsidRDefault="00BF0D11" w:rsidP="00BF0D11">
      <w:pPr>
        <w:widowControl/>
        <w:adjustRightInd w:val="0"/>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 xml:space="preserve">2) </w:t>
      </w:r>
      <w:r w:rsidRPr="00246977">
        <w:rPr>
          <w:rFonts w:ascii="Times New Roman" w:eastAsiaTheme="minorHAnsi" w:hAnsi="Times New Roman" w:cs="Times New Roman"/>
          <w:color w:val="000000"/>
          <w:sz w:val="24"/>
          <w:szCs w:val="24"/>
          <w:lang w:val="el-GR" w:bidi="ar-SA"/>
        </w:rPr>
        <w:t xml:space="preserve">Οι διαδικασίες μεταφοράς των ειδών ή/και διάθεσής τους πρέπει να συμφωνούν με τα εκάστοτε ισχύοντα πρότυπα ασφάλειας, με την ελληνική και ευρωπαϊκή νομοθεσία. </w:t>
      </w:r>
    </w:p>
    <w:p w:rsidR="00BF0D11" w:rsidRPr="00246977" w:rsidRDefault="00BF0D11" w:rsidP="00BF0D11">
      <w:pPr>
        <w:pStyle w:val="a3"/>
        <w:spacing w:before="7"/>
        <w:ind w:left="0"/>
        <w:rPr>
          <w:rFonts w:ascii="Times New Roman" w:hAnsi="Times New Roman" w:cs="Times New Roman"/>
          <w:sz w:val="24"/>
          <w:szCs w:val="24"/>
          <w:lang w:val="el-GR"/>
        </w:rPr>
      </w:pPr>
    </w:p>
    <w:p w:rsidR="00BF0D11" w:rsidRPr="00246977" w:rsidRDefault="00BF0D11" w:rsidP="00BF0D11">
      <w:pPr>
        <w:pStyle w:val="Heading2"/>
        <w:spacing w:after="15" w:line="252" w:lineRule="auto"/>
        <w:ind w:left="0" w:firstLine="0"/>
        <w:rPr>
          <w:rFonts w:ascii="Times New Roman" w:hAnsi="Times New Roman" w:cs="Times New Roman"/>
          <w:i/>
          <w:lang w:val="el-GR"/>
        </w:rPr>
      </w:pPr>
    </w:p>
    <w:p w:rsidR="00BF0D11" w:rsidRPr="00246977" w:rsidRDefault="00BF0D11" w:rsidP="00BF0D11">
      <w:pPr>
        <w:pStyle w:val="Heading2"/>
        <w:spacing w:after="15" w:line="252" w:lineRule="auto"/>
        <w:ind w:left="0" w:firstLine="0"/>
        <w:rPr>
          <w:rFonts w:ascii="Times New Roman" w:hAnsi="Times New Roman" w:cs="Times New Roman"/>
          <w:i/>
          <w:lang w:val="el-GR"/>
        </w:rPr>
      </w:pPr>
    </w:p>
    <w:p w:rsidR="00BF0D11" w:rsidRDefault="00BF0D11" w:rsidP="00BF0D11">
      <w:pPr>
        <w:pStyle w:val="Heading2"/>
        <w:spacing w:after="15" w:line="252" w:lineRule="auto"/>
        <w:ind w:left="0" w:firstLine="0"/>
        <w:rPr>
          <w:rFonts w:ascii="Times New Roman" w:hAnsi="Times New Roman" w:cs="Times New Roman"/>
          <w:i/>
          <w:lang w:val="el-GR"/>
        </w:rPr>
      </w:pPr>
    </w:p>
    <w:p w:rsidR="00BF0D11" w:rsidRDefault="00BF0D11" w:rsidP="00BF0D11">
      <w:pPr>
        <w:pStyle w:val="Heading2"/>
        <w:spacing w:after="15" w:line="252" w:lineRule="auto"/>
        <w:ind w:left="0" w:firstLine="0"/>
        <w:rPr>
          <w:rFonts w:ascii="Times New Roman" w:hAnsi="Times New Roman" w:cs="Times New Roman"/>
          <w:i/>
          <w:lang w:val="el-GR"/>
        </w:rPr>
      </w:pPr>
    </w:p>
    <w:p w:rsidR="00BF0D11" w:rsidRDefault="00BF0D11" w:rsidP="00BF0D11">
      <w:pPr>
        <w:pStyle w:val="Heading2"/>
        <w:spacing w:after="15" w:line="252" w:lineRule="auto"/>
        <w:ind w:left="0" w:firstLine="0"/>
        <w:rPr>
          <w:rFonts w:ascii="Times New Roman" w:hAnsi="Times New Roman" w:cs="Times New Roman"/>
          <w:i/>
          <w:lang w:val="el-GR"/>
        </w:rPr>
      </w:pPr>
    </w:p>
    <w:p w:rsidR="00BF0D11" w:rsidRDefault="00BF0D11" w:rsidP="00BF0D11">
      <w:pPr>
        <w:pStyle w:val="Heading2"/>
        <w:spacing w:after="15" w:line="252" w:lineRule="auto"/>
        <w:ind w:left="0" w:firstLine="0"/>
        <w:rPr>
          <w:rFonts w:ascii="Times New Roman" w:hAnsi="Times New Roman" w:cs="Times New Roman"/>
          <w:i/>
          <w:lang w:val="el-GR"/>
        </w:rPr>
      </w:pPr>
    </w:p>
    <w:p w:rsidR="00BF0D11" w:rsidRDefault="00BF0D11" w:rsidP="00BF0D11">
      <w:pPr>
        <w:pStyle w:val="Heading2"/>
        <w:spacing w:after="15" w:line="252" w:lineRule="auto"/>
        <w:ind w:left="0" w:firstLine="0"/>
        <w:rPr>
          <w:rFonts w:ascii="Times New Roman" w:hAnsi="Times New Roman" w:cs="Times New Roman"/>
          <w:i/>
          <w:lang w:val="el-GR"/>
        </w:rPr>
      </w:pPr>
    </w:p>
    <w:p w:rsidR="00BB3B65" w:rsidRPr="00BF0D11" w:rsidRDefault="00BB3B65">
      <w:pPr>
        <w:rPr>
          <w:lang w:val="el-GR"/>
        </w:rPr>
      </w:pPr>
    </w:p>
    <w:sectPr w:rsidR="00BB3B65" w:rsidRPr="00BF0D11" w:rsidSect="00BB3B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96803"/>
    <w:multiLevelType w:val="hybridMultilevel"/>
    <w:tmpl w:val="E3FA89E2"/>
    <w:lvl w:ilvl="0" w:tplc="0408000F">
      <w:start w:val="1"/>
      <w:numFmt w:val="decimal"/>
      <w:lvlText w:val="%1."/>
      <w:lvlJc w:val="left"/>
      <w:pPr>
        <w:ind w:left="776" w:hanging="360"/>
      </w:pPr>
    </w:lvl>
    <w:lvl w:ilvl="1" w:tplc="04080019" w:tentative="1">
      <w:start w:val="1"/>
      <w:numFmt w:val="lowerLetter"/>
      <w:lvlText w:val="%2."/>
      <w:lvlJc w:val="left"/>
      <w:pPr>
        <w:ind w:left="1496" w:hanging="360"/>
      </w:pPr>
    </w:lvl>
    <w:lvl w:ilvl="2" w:tplc="0408001B" w:tentative="1">
      <w:start w:val="1"/>
      <w:numFmt w:val="lowerRoman"/>
      <w:lvlText w:val="%3."/>
      <w:lvlJc w:val="right"/>
      <w:pPr>
        <w:ind w:left="2216" w:hanging="180"/>
      </w:pPr>
    </w:lvl>
    <w:lvl w:ilvl="3" w:tplc="0408000F" w:tentative="1">
      <w:start w:val="1"/>
      <w:numFmt w:val="decimal"/>
      <w:lvlText w:val="%4."/>
      <w:lvlJc w:val="left"/>
      <w:pPr>
        <w:ind w:left="2936" w:hanging="360"/>
      </w:pPr>
    </w:lvl>
    <w:lvl w:ilvl="4" w:tplc="04080019" w:tentative="1">
      <w:start w:val="1"/>
      <w:numFmt w:val="lowerLetter"/>
      <w:lvlText w:val="%5."/>
      <w:lvlJc w:val="left"/>
      <w:pPr>
        <w:ind w:left="3656" w:hanging="360"/>
      </w:pPr>
    </w:lvl>
    <w:lvl w:ilvl="5" w:tplc="0408001B" w:tentative="1">
      <w:start w:val="1"/>
      <w:numFmt w:val="lowerRoman"/>
      <w:lvlText w:val="%6."/>
      <w:lvlJc w:val="right"/>
      <w:pPr>
        <w:ind w:left="4376" w:hanging="180"/>
      </w:pPr>
    </w:lvl>
    <w:lvl w:ilvl="6" w:tplc="0408000F" w:tentative="1">
      <w:start w:val="1"/>
      <w:numFmt w:val="decimal"/>
      <w:lvlText w:val="%7."/>
      <w:lvlJc w:val="left"/>
      <w:pPr>
        <w:ind w:left="5096" w:hanging="360"/>
      </w:pPr>
    </w:lvl>
    <w:lvl w:ilvl="7" w:tplc="04080019" w:tentative="1">
      <w:start w:val="1"/>
      <w:numFmt w:val="lowerLetter"/>
      <w:lvlText w:val="%8."/>
      <w:lvlJc w:val="left"/>
      <w:pPr>
        <w:ind w:left="5816" w:hanging="360"/>
      </w:pPr>
    </w:lvl>
    <w:lvl w:ilvl="8" w:tplc="0408001B" w:tentative="1">
      <w:start w:val="1"/>
      <w:numFmt w:val="lowerRoman"/>
      <w:lvlText w:val="%9."/>
      <w:lvlJc w:val="right"/>
      <w:pPr>
        <w:ind w:left="6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F0D11"/>
    <w:rsid w:val="002C4C6B"/>
    <w:rsid w:val="00AC2EA4"/>
    <w:rsid w:val="00BB3B65"/>
    <w:rsid w:val="00BF0D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0D11"/>
    <w:pPr>
      <w:widowControl w:val="0"/>
      <w:autoSpaceDE w:val="0"/>
      <w:autoSpaceDN w:val="0"/>
      <w:spacing w:after="0" w:line="240" w:lineRule="auto"/>
    </w:pPr>
    <w:rPr>
      <w:rFonts w:ascii="Arial" w:eastAsia="Arial" w:hAnsi="Arial" w:cs="Arial"/>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F0D11"/>
    <w:pPr>
      <w:ind w:left="233"/>
    </w:pPr>
  </w:style>
  <w:style w:type="character" w:customStyle="1" w:styleId="Char">
    <w:name w:val="Σώμα κειμένου Char"/>
    <w:basedOn w:val="a0"/>
    <w:link w:val="a3"/>
    <w:uiPriority w:val="1"/>
    <w:rsid w:val="00BF0D11"/>
    <w:rPr>
      <w:rFonts w:ascii="Arial" w:eastAsia="Arial" w:hAnsi="Arial" w:cs="Arial"/>
      <w:lang w:val="en-US" w:bidi="en-US"/>
    </w:rPr>
  </w:style>
  <w:style w:type="paragraph" w:customStyle="1" w:styleId="Heading2">
    <w:name w:val="Heading 2"/>
    <w:basedOn w:val="a"/>
    <w:uiPriority w:val="1"/>
    <w:qFormat/>
    <w:rsid w:val="00BF0D11"/>
    <w:pPr>
      <w:ind w:left="800" w:hanging="567"/>
      <w:outlineLvl w:val="2"/>
    </w:pPr>
    <w:rPr>
      <w:rFonts w:ascii="Trebuchet MS" w:eastAsia="Trebuchet MS" w:hAnsi="Trebuchet MS" w:cs="Trebuchet MS"/>
      <w:b/>
      <w:bCs/>
      <w:sz w:val="24"/>
      <w:szCs w:val="24"/>
    </w:rPr>
  </w:style>
  <w:style w:type="paragraph" w:customStyle="1" w:styleId="1">
    <w:name w:val="Παράγραφος λίστας1"/>
    <w:basedOn w:val="a"/>
    <w:rsid w:val="00BF0D11"/>
    <w:pPr>
      <w:suppressAutoHyphens/>
      <w:autoSpaceDN/>
      <w:ind w:left="720"/>
      <w:jc w:val="both"/>
    </w:pPr>
    <w:rPr>
      <w:rFonts w:ascii="Times New Roman" w:eastAsia="Calibri" w:hAnsi="Times New Roman" w:cs="Times New Roman"/>
      <w:sz w:val="20"/>
      <w:szCs w:val="20"/>
      <w:lang w:val="el-GR"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0C7EF-64AD-4C7A-919D-CCDCE562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3228</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2020-02-26T10:29:00Z</dcterms:created>
  <dcterms:modified xsi:type="dcterms:W3CDTF">2020-02-26T10:29:00Z</dcterms:modified>
</cp:coreProperties>
</file>