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11" w:type="dxa"/>
        <w:tblInd w:w="-743" w:type="dxa"/>
        <w:tblLayout w:type="fixed"/>
        <w:tblLook w:val="01E0"/>
      </w:tblPr>
      <w:tblGrid>
        <w:gridCol w:w="5103"/>
        <w:gridCol w:w="236"/>
        <w:gridCol w:w="4872"/>
      </w:tblGrid>
      <w:tr w:rsidR="008C5C65" w:rsidRPr="004316DE" w:rsidTr="00881930">
        <w:trPr>
          <w:trHeight w:val="619"/>
        </w:trPr>
        <w:tc>
          <w:tcPr>
            <w:tcW w:w="5103" w:type="dxa"/>
          </w:tcPr>
          <w:tbl>
            <w:tblPr>
              <w:tblpPr w:leftFromText="180" w:rightFromText="180" w:horzAnchor="margin" w:tblpY="-405"/>
              <w:tblOverlap w:val="never"/>
              <w:tblW w:w="10110" w:type="dxa"/>
              <w:tblLayout w:type="fixed"/>
              <w:tblLook w:val="0000"/>
            </w:tblPr>
            <w:tblGrid>
              <w:gridCol w:w="10110"/>
            </w:tblGrid>
            <w:tr w:rsidR="006662C6" w:rsidRPr="0035468D" w:rsidTr="006662C6">
              <w:trPr>
                <w:cantSplit/>
                <w:trHeight w:val="452"/>
              </w:trPr>
              <w:tc>
                <w:tcPr>
                  <w:tcW w:w="10110" w:type="dxa"/>
                </w:tcPr>
                <w:p w:rsidR="006662C6" w:rsidRPr="0035468D" w:rsidRDefault="006662C6" w:rsidP="00E22174">
                  <w:pPr>
                    <w:rPr>
                      <w:rFonts w:ascii="MS Reference Sans Serif" w:hAnsi="MS Reference Sans Serif"/>
                      <w:color w:val="333399"/>
                      <w:lang w:val="en-US"/>
                    </w:rPr>
                  </w:pPr>
                  <w:r w:rsidRPr="0035468D">
                    <w:rPr>
                      <w:rFonts w:ascii="MS Reference Sans Serif" w:hAnsi="MS Reference Sans Serif"/>
                      <w:sz w:val="22"/>
                      <w:szCs w:val="22"/>
                    </w:rPr>
                    <w:t xml:space="preserve">  </w:t>
                  </w:r>
                  <w:r w:rsidRPr="0035468D">
                    <w:rPr>
                      <w:rFonts w:ascii="MS Reference Sans Serif" w:hAnsi="MS Reference Sans Serif"/>
                      <w:sz w:val="22"/>
                      <w:szCs w:val="22"/>
                      <w:lang w:val="en-US"/>
                    </w:rPr>
                    <w:t xml:space="preserve">             </w:t>
                  </w:r>
                  <w:r>
                    <w:rPr>
                      <w:rFonts w:ascii="MS Reference Sans Serif" w:hAnsi="MS Reference Sans Serif"/>
                      <w:noProof/>
                      <w:color w:val="333399"/>
                      <w:sz w:val="22"/>
                      <w:szCs w:val="22"/>
                    </w:rPr>
                    <w:drawing>
                      <wp:inline distT="0" distB="0" distL="0" distR="0">
                        <wp:extent cx="647700" cy="628650"/>
                        <wp:effectExtent l="19050" t="0" r="0" b="0"/>
                        <wp:docPr id="3" name="Εικόνα 1" descr="ΕΘΝΟΣΗΜΟ έγχρ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Εικόνα 1" descr="ΕΘΝΟΣΗΜΟ έγχρ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6662C6" w:rsidRPr="006662C6" w:rsidTr="006662C6">
              <w:trPr>
                <w:cantSplit/>
                <w:trHeight w:val="2730"/>
              </w:trPr>
              <w:tc>
                <w:tcPr>
                  <w:tcW w:w="10110" w:type="dxa"/>
                </w:tcPr>
                <w:p w:rsidR="006662C6" w:rsidRPr="0035468D" w:rsidRDefault="006662C6" w:rsidP="00E22174">
                  <w:pPr>
                    <w:rPr>
                      <w:rFonts w:ascii="MS Reference Sans Serif" w:hAnsi="MS Reference Sans Serif" w:cs="Tahoma"/>
                      <w:b/>
                    </w:rPr>
                  </w:pPr>
                  <w:r w:rsidRPr="0035468D">
                    <w:rPr>
                      <w:rFonts w:ascii="MS Reference Sans Serif" w:hAnsi="MS Reference Sans Serif" w:cs="Tahoma"/>
                      <w:b/>
                      <w:szCs w:val="22"/>
                    </w:rPr>
                    <w:t>ΕΛΛΗΝΙΚΗ ΔΗΜΟΚΡΑΤΙΑ</w:t>
                  </w:r>
                </w:p>
                <w:p w:rsidR="006662C6" w:rsidRPr="0035468D" w:rsidRDefault="006662C6" w:rsidP="00E22174">
                  <w:pPr>
                    <w:rPr>
                      <w:rFonts w:ascii="MS Reference Sans Serif" w:hAnsi="MS Reference Sans Serif" w:cs="Tahoma"/>
                      <w:b/>
                    </w:rPr>
                  </w:pPr>
                  <w:r w:rsidRPr="0035468D">
                    <w:rPr>
                      <w:rFonts w:ascii="MS Reference Sans Serif" w:hAnsi="MS Reference Sans Serif" w:cs="Tahoma"/>
                      <w:b/>
                      <w:szCs w:val="22"/>
                    </w:rPr>
                    <w:t>ΠΕΡΙΦΕΡΕΙΑ ΠΕΛΟΠΟΝΝΗΣΟΥ</w:t>
                  </w:r>
                </w:p>
                <w:p w:rsidR="006662C6" w:rsidRPr="0035468D" w:rsidRDefault="006662C6" w:rsidP="00E22174">
                  <w:pPr>
                    <w:rPr>
                      <w:rFonts w:ascii="MS Reference Sans Serif" w:hAnsi="MS Reference Sans Serif" w:cs="Tahoma"/>
                      <w:b/>
                    </w:rPr>
                  </w:pPr>
                  <w:r w:rsidRPr="0035468D">
                    <w:rPr>
                      <w:rFonts w:ascii="MS Reference Sans Serif" w:hAnsi="MS Reference Sans Serif" w:cs="Tahoma"/>
                      <w:b/>
                      <w:szCs w:val="22"/>
                    </w:rPr>
                    <w:t>ΠΕΡΙΦΕΡΕΙΑΚΗ ΕΝΟΤΗΤΑ ΜΕΣΣΗΝΙΑΣ</w:t>
                  </w:r>
                </w:p>
                <w:p w:rsidR="006662C6" w:rsidRPr="0035468D" w:rsidRDefault="006662C6" w:rsidP="00E22174">
                  <w:pPr>
                    <w:spacing w:line="360" w:lineRule="auto"/>
                    <w:rPr>
                      <w:rFonts w:ascii="MS Reference Sans Serif" w:hAnsi="MS Reference Sans Serif" w:cs="Tahoma"/>
                      <w:b/>
                    </w:rPr>
                  </w:pPr>
                  <w:r w:rsidRPr="0035468D">
                    <w:rPr>
                      <w:rFonts w:ascii="MS Reference Sans Serif" w:hAnsi="MS Reference Sans Serif" w:cs="Tahoma"/>
                      <w:b/>
                      <w:szCs w:val="22"/>
                    </w:rPr>
                    <w:t>ΓΡΑΦΕΙΟ ΑΝΤΙΠΕΡΙΦΕΡΕΙΑΡΧΗ</w:t>
                  </w:r>
                </w:p>
                <w:p w:rsidR="006662C6" w:rsidRPr="0035468D" w:rsidRDefault="006662C6" w:rsidP="00E22174">
                  <w:pPr>
                    <w:rPr>
                      <w:rFonts w:ascii="MS Reference Sans Serif" w:hAnsi="MS Reference Sans Serif" w:cs="Tahoma"/>
                    </w:rPr>
                  </w:pPr>
                  <w:r w:rsidRPr="0035468D">
                    <w:rPr>
                      <w:rFonts w:ascii="MS Reference Sans Serif" w:hAnsi="MS Reference Sans Serif" w:cs="Tahoma"/>
                      <w:color w:val="333399"/>
                      <w:sz w:val="20"/>
                    </w:rPr>
                    <w:sym w:font="Wingdings" w:char="F02B"/>
                  </w:r>
                  <w:r w:rsidRPr="0035468D">
                    <w:rPr>
                      <w:rFonts w:ascii="MS Reference Sans Serif" w:hAnsi="MS Reference Sans Serif" w:cs="Tahoma"/>
                      <w:sz w:val="20"/>
                    </w:rPr>
                    <w:t xml:space="preserve"> </w:t>
                  </w:r>
                  <w:r w:rsidRPr="0035468D">
                    <w:rPr>
                      <w:rFonts w:ascii="MS Reference Sans Serif" w:hAnsi="MS Reference Sans Serif" w:cs="Tahoma"/>
                      <w:sz w:val="20"/>
                      <w:szCs w:val="18"/>
                    </w:rPr>
                    <w:t>Ταχ. Δ/ση: Ψαρών 15, Καλαμάτα</w:t>
                  </w:r>
                </w:p>
                <w:p w:rsidR="006662C6" w:rsidRPr="003A0ED5" w:rsidRDefault="006662C6" w:rsidP="00E22174">
                  <w:pPr>
                    <w:rPr>
                      <w:rFonts w:ascii="MS Reference Sans Serif" w:hAnsi="MS Reference Sans Serif" w:cs="Tahoma"/>
                    </w:rPr>
                  </w:pPr>
                  <w:r w:rsidRPr="0035468D">
                    <w:rPr>
                      <w:rFonts w:ascii="MS Reference Sans Serif" w:hAnsi="MS Reference Sans Serif" w:cs="Tahoma"/>
                      <w:color w:val="333399"/>
                      <w:sz w:val="20"/>
                    </w:rPr>
                    <w:sym w:font="Wingdings" w:char="F02D"/>
                  </w:r>
                  <w:r w:rsidRPr="0035468D">
                    <w:rPr>
                      <w:rFonts w:ascii="MS Reference Sans Serif" w:hAnsi="MS Reference Sans Serif" w:cs="Tahoma"/>
                      <w:sz w:val="20"/>
                    </w:rPr>
                    <w:t xml:space="preserve"> </w:t>
                  </w:r>
                  <w:r w:rsidRPr="0035468D">
                    <w:rPr>
                      <w:rFonts w:ascii="MS Reference Sans Serif" w:hAnsi="MS Reference Sans Serif" w:cs="Tahoma"/>
                      <w:sz w:val="20"/>
                      <w:szCs w:val="18"/>
                    </w:rPr>
                    <w:t>Ταχ. Κωδ.: 241 31</w:t>
                  </w:r>
                </w:p>
                <w:p w:rsidR="006662C6" w:rsidRPr="0035468D" w:rsidRDefault="006662C6" w:rsidP="00E22174">
                  <w:pPr>
                    <w:rPr>
                      <w:rFonts w:ascii="MS Reference Sans Serif" w:hAnsi="MS Reference Sans Serif" w:cs="Tahoma"/>
                    </w:rPr>
                  </w:pPr>
                  <w:r w:rsidRPr="0035468D">
                    <w:rPr>
                      <w:rFonts w:ascii="MS Reference Sans Serif" w:eastAsia="Arial Unicode MS" w:hAnsi="Arial Unicode MS" w:cs="Arial Unicode MS"/>
                      <w:color w:val="333399"/>
                      <w:sz w:val="20"/>
                    </w:rPr>
                    <w:t>✆</w:t>
                  </w:r>
                  <w:r w:rsidRPr="0035468D">
                    <w:rPr>
                      <w:rFonts w:ascii="MS Reference Sans Serif" w:hAnsi="MS Reference Sans Serif" w:cs="Tahoma"/>
                      <w:sz w:val="20"/>
                    </w:rPr>
                    <w:t xml:space="preserve"> </w:t>
                  </w:r>
                  <w:r w:rsidRPr="0035468D">
                    <w:rPr>
                      <w:rFonts w:ascii="MS Reference Sans Serif" w:hAnsi="MS Reference Sans Serif" w:cs="Tahoma"/>
                      <w:sz w:val="20"/>
                      <w:szCs w:val="18"/>
                    </w:rPr>
                    <w:t>Τηλέφωνο: 27213 61422</w:t>
                  </w:r>
                </w:p>
                <w:p w:rsidR="006662C6" w:rsidRPr="006662C6" w:rsidRDefault="006662C6" w:rsidP="00E22174">
                  <w:pPr>
                    <w:rPr>
                      <w:rFonts w:ascii="MS Reference Sans Serif" w:hAnsi="MS Reference Sans Serif" w:cs="Tahoma"/>
                    </w:rPr>
                  </w:pPr>
                  <w:r w:rsidRPr="0035468D">
                    <w:rPr>
                      <w:rFonts w:ascii="MS Reference Sans Serif" w:hAnsi="MS Reference Sans Serif" w:cs="Tahoma"/>
                      <w:color w:val="333399"/>
                      <w:sz w:val="20"/>
                    </w:rPr>
                    <w:sym w:font="Wingdings" w:char="F03A"/>
                  </w:r>
                  <w:r w:rsidRPr="0035468D">
                    <w:rPr>
                      <w:rFonts w:ascii="MS Reference Sans Serif" w:hAnsi="MS Reference Sans Serif" w:cs="Tahoma"/>
                      <w:color w:val="333399"/>
                      <w:sz w:val="20"/>
                      <w:szCs w:val="18"/>
                      <w:lang w:val="it-IT"/>
                    </w:rPr>
                    <w:t xml:space="preserve"> </w:t>
                  </w:r>
                  <w:r w:rsidRPr="0035468D">
                    <w:rPr>
                      <w:rFonts w:ascii="MS Reference Sans Serif" w:hAnsi="MS Reference Sans Serif" w:cs="Tahoma"/>
                      <w:sz w:val="20"/>
                      <w:szCs w:val="18"/>
                      <w:lang w:val="it-IT"/>
                    </w:rPr>
                    <w:t xml:space="preserve">E-mail: </w:t>
                  </w:r>
                  <w:hyperlink r:id="rId7" w:history="1">
                    <w:r w:rsidRPr="0035468D">
                      <w:rPr>
                        <w:rStyle w:val="-"/>
                        <w:rFonts w:ascii="MS Reference Sans Serif" w:hAnsi="MS Reference Sans Serif"/>
                        <w:sz w:val="20"/>
                        <w:szCs w:val="18"/>
                        <w:lang w:val="it-IT"/>
                      </w:rPr>
                      <w:t>antiperiferiarxis@gmail.com</w:t>
                    </w:r>
                  </w:hyperlink>
                  <w:r w:rsidRPr="006662C6">
                    <w:rPr>
                      <w:rFonts w:ascii="MS Reference Sans Serif" w:hAnsi="MS Reference Sans Serif" w:cs="Tahoma"/>
                      <w:sz w:val="20"/>
                      <w:szCs w:val="18"/>
                    </w:rPr>
                    <w:t xml:space="preserve"> </w:t>
                  </w:r>
                </w:p>
              </w:tc>
            </w:tr>
          </w:tbl>
          <w:p w:rsidR="008C5C65" w:rsidRPr="004316DE" w:rsidRDefault="008C5C65" w:rsidP="004316DE">
            <w:pPr>
              <w:ind w:right="26" w:firstLine="785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C5C65" w:rsidRPr="004316DE" w:rsidRDefault="008C5C65" w:rsidP="004316DE">
            <w:pPr>
              <w:ind w:right="26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4872" w:type="dxa"/>
            <w:shd w:val="clear" w:color="auto" w:fill="auto"/>
            <w:vAlign w:val="center"/>
          </w:tcPr>
          <w:p w:rsidR="008C5C65" w:rsidRPr="00627934" w:rsidRDefault="006662C6" w:rsidP="004316DE">
            <w:pPr>
              <w:ind w:right="26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</w:t>
            </w:r>
            <w:r w:rsidR="008C5C65" w:rsidRPr="004316DE">
              <w:rPr>
                <w:sz w:val="22"/>
                <w:szCs w:val="22"/>
              </w:rPr>
              <w:t xml:space="preserve">ΚΑΛΑΜΑΤΑ, </w:t>
            </w:r>
            <w:r>
              <w:rPr>
                <w:sz w:val="22"/>
                <w:szCs w:val="22"/>
                <w:lang w:val="en-US"/>
              </w:rPr>
              <w:t xml:space="preserve"> 31</w:t>
            </w:r>
            <w:r w:rsidR="00627934">
              <w:rPr>
                <w:sz w:val="22"/>
                <w:szCs w:val="22"/>
              </w:rPr>
              <w:t>/</w:t>
            </w:r>
            <w:r w:rsidR="00627934">
              <w:rPr>
                <w:sz w:val="22"/>
                <w:szCs w:val="22"/>
                <w:lang w:val="en-US"/>
              </w:rPr>
              <w:t>0</w:t>
            </w:r>
            <w:r w:rsidR="001D53B4">
              <w:rPr>
                <w:sz w:val="22"/>
                <w:szCs w:val="22"/>
              </w:rPr>
              <w:t>5</w:t>
            </w:r>
            <w:r w:rsidR="008C5C65" w:rsidRPr="004316DE">
              <w:rPr>
                <w:sz w:val="22"/>
                <w:szCs w:val="22"/>
              </w:rPr>
              <w:t>/20</w:t>
            </w:r>
            <w:r w:rsidR="00334D75">
              <w:rPr>
                <w:sz w:val="22"/>
                <w:szCs w:val="22"/>
              </w:rPr>
              <w:t>2</w:t>
            </w:r>
            <w:r w:rsidR="00627934">
              <w:rPr>
                <w:sz w:val="22"/>
                <w:szCs w:val="22"/>
                <w:lang w:val="en-US"/>
              </w:rPr>
              <w:t>2</w:t>
            </w:r>
          </w:p>
          <w:p w:rsidR="008C5C65" w:rsidRPr="004316DE" w:rsidRDefault="008C5C65" w:rsidP="004316DE">
            <w:pPr>
              <w:ind w:right="26"/>
              <w:rPr>
                <w:sz w:val="22"/>
                <w:szCs w:val="22"/>
                <w:lang w:val="en-US"/>
              </w:rPr>
            </w:pPr>
          </w:p>
        </w:tc>
      </w:tr>
      <w:tr w:rsidR="008C5C65" w:rsidRPr="004316DE" w:rsidTr="00881930">
        <w:trPr>
          <w:trHeight w:val="1472"/>
        </w:trPr>
        <w:tc>
          <w:tcPr>
            <w:tcW w:w="5103" w:type="dxa"/>
          </w:tcPr>
          <w:p w:rsidR="008C5C65" w:rsidRPr="004316DE" w:rsidRDefault="008C5C65" w:rsidP="00334D75">
            <w:pPr>
              <w:ind w:right="26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8C5C65" w:rsidRPr="004316DE" w:rsidRDefault="008C5C65" w:rsidP="004316DE">
            <w:pPr>
              <w:ind w:left="197" w:right="26"/>
              <w:rPr>
                <w:b/>
                <w:sz w:val="16"/>
                <w:szCs w:val="16"/>
              </w:rPr>
            </w:pPr>
          </w:p>
        </w:tc>
        <w:tc>
          <w:tcPr>
            <w:tcW w:w="4872" w:type="dxa"/>
            <w:shd w:val="clear" w:color="auto" w:fill="auto"/>
            <w:vAlign w:val="center"/>
          </w:tcPr>
          <w:p w:rsidR="008C5C65" w:rsidRPr="006662C6" w:rsidRDefault="008C5C65" w:rsidP="006662C6">
            <w:pPr>
              <w:ind w:right="26"/>
              <w:rPr>
                <w:sz w:val="20"/>
                <w:szCs w:val="20"/>
                <w:lang w:val="en-US"/>
              </w:rPr>
            </w:pPr>
          </w:p>
        </w:tc>
      </w:tr>
    </w:tbl>
    <w:p w:rsidR="009A1D13" w:rsidRPr="006662C6" w:rsidRDefault="009A1D13" w:rsidP="006662C6">
      <w:pPr>
        <w:rPr>
          <w:lang w:val="en-US"/>
        </w:rPr>
      </w:pPr>
    </w:p>
    <w:p w:rsidR="00A9165F" w:rsidRDefault="00A9165F" w:rsidP="00A9165F">
      <w:pPr>
        <w:ind w:left="-180"/>
        <w:jc w:val="center"/>
        <w:rPr>
          <w:b/>
          <w:sz w:val="28"/>
          <w:szCs w:val="28"/>
          <w:u w:val="single"/>
        </w:rPr>
      </w:pPr>
      <w:r w:rsidRPr="00A9165F">
        <w:rPr>
          <w:b/>
          <w:sz w:val="28"/>
          <w:szCs w:val="28"/>
          <w:u w:val="single"/>
        </w:rPr>
        <w:t>ΔΕΛΤΙΟ ΤΥΠΟΥ</w:t>
      </w:r>
    </w:p>
    <w:p w:rsidR="00963743" w:rsidRDefault="00963743" w:rsidP="00A9165F">
      <w:pPr>
        <w:ind w:left="-180"/>
        <w:jc w:val="center"/>
        <w:rPr>
          <w:b/>
          <w:sz w:val="28"/>
          <w:szCs w:val="28"/>
          <w:u w:val="single"/>
        </w:rPr>
      </w:pPr>
    </w:p>
    <w:p w:rsidR="00881930" w:rsidRPr="00881930" w:rsidRDefault="00881930" w:rsidP="00881930">
      <w:pPr>
        <w:spacing w:line="360" w:lineRule="auto"/>
        <w:ind w:left="-851" w:right="-625"/>
        <w:jc w:val="both"/>
        <w:rPr>
          <w:i/>
        </w:rPr>
      </w:pPr>
      <w:r w:rsidRPr="00881930">
        <w:rPr>
          <w:i/>
        </w:rPr>
        <w:t xml:space="preserve">περί </w:t>
      </w:r>
      <w:r w:rsidR="00384B79">
        <w:rPr>
          <w:i/>
        </w:rPr>
        <w:t>ενημέρωσης αγροτών, κτηνοτρ</w:t>
      </w:r>
      <w:r w:rsidR="00BB757B">
        <w:rPr>
          <w:i/>
        </w:rPr>
        <w:t xml:space="preserve">όφων και </w:t>
      </w:r>
      <w:r w:rsidR="00384B79">
        <w:rPr>
          <w:i/>
        </w:rPr>
        <w:t xml:space="preserve">μελισσοκόμων για </w:t>
      </w:r>
      <w:r w:rsidR="00BB757B">
        <w:rPr>
          <w:i/>
        </w:rPr>
        <w:t>την αντιπυρική περίοδο</w:t>
      </w:r>
      <w:r w:rsidRPr="00881930">
        <w:rPr>
          <w:i/>
        </w:rPr>
        <w:t>.</w:t>
      </w:r>
    </w:p>
    <w:p w:rsidR="00881930" w:rsidRPr="00EC6697" w:rsidRDefault="00881930" w:rsidP="00E673F7">
      <w:pPr>
        <w:ind w:left="-180"/>
        <w:jc w:val="center"/>
        <w:rPr>
          <w:b/>
        </w:rPr>
      </w:pPr>
    </w:p>
    <w:p w:rsidR="001D53B4" w:rsidRPr="001D53B4" w:rsidRDefault="00334D75" w:rsidP="001F3A40">
      <w:pPr>
        <w:spacing w:line="360" w:lineRule="auto"/>
        <w:ind w:left="-851" w:right="-625"/>
        <w:jc w:val="both"/>
        <w:rPr>
          <w:bCs/>
        </w:rPr>
      </w:pPr>
      <w:r w:rsidRPr="00334D75">
        <w:t>Η Διεύθυνση Αγροτικής Οικονομίας και Κτηνιατρικής Π.Ε. Μεσσηνίας</w:t>
      </w:r>
      <w:r w:rsidR="00627934">
        <w:t>,</w:t>
      </w:r>
      <w:r w:rsidRPr="00334D75">
        <w:t xml:space="preserve"> </w:t>
      </w:r>
      <w:r w:rsidR="00BB757B" w:rsidRPr="00987101">
        <w:t xml:space="preserve">ενημερώνει ότι </w:t>
      </w:r>
      <w:r w:rsidR="001D53B4">
        <w:t xml:space="preserve">σε όλη τη διάρκεια της </w:t>
      </w:r>
      <w:r w:rsidR="00BB757B" w:rsidRPr="00987101">
        <w:t>τρέχουσα</w:t>
      </w:r>
      <w:r w:rsidR="001D53B4">
        <w:t>ς</w:t>
      </w:r>
      <w:r w:rsidR="00BB757B" w:rsidRPr="00987101">
        <w:t xml:space="preserve"> αντιπυρική</w:t>
      </w:r>
      <w:r w:rsidR="001D53B4">
        <w:t>ς</w:t>
      </w:r>
      <w:r w:rsidR="00BB757B" w:rsidRPr="00987101">
        <w:t xml:space="preserve"> </w:t>
      </w:r>
      <w:r w:rsidR="001D53B4">
        <w:t>περιόδου</w:t>
      </w:r>
      <w:r w:rsidR="00BB757B" w:rsidRPr="00987101">
        <w:t xml:space="preserve"> από </w:t>
      </w:r>
      <w:r w:rsidR="00BB757B" w:rsidRPr="00987101">
        <w:rPr>
          <w:b/>
          <w:bCs/>
        </w:rPr>
        <w:t>1</w:t>
      </w:r>
      <w:r w:rsidR="00BB757B" w:rsidRPr="00987101">
        <w:rPr>
          <w:b/>
          <w:bCs/>
          <w:vertAlign w:val="superscript"/>
        </w:rPr>
        <w:t>η</w:t>
      </w:r>
      <w:r w:rsidR="00BB757B" w:rsidRPr="00987101">
        <w:rPr>
          <w:b/>
          <w:bCs/>
        </w:rPr>
        <w:t xml:space="preserve"> Μαΐου έως 31 Οκτωβρίου</w:t>
      </w:r>
      <w:r w:rsidR="00BB757B" w:rsidRPr="00987101">
        <w:t xml:space="preserve"> </w:t>
      </w:r>
      <w:r w:rsidR="00BB757B" w:rsidRPr="00987101">
        <w:rPr>
          <w:b/>
          <w:bCs/>
        </w:rPr>
        <w:t>20</w:t>
      </w:r>
      <w:r w:rsidR="00BB757B">
        <w:rPr>
          <w:b/>
          <w:bCs/>
        </w:rPr>
        <w:t>22,</w:t>
      </w:r>
      <w:r w:rsidR="00BB757B" w:rsidRPr="00987101">
        <w:rPr>
          <w:b/>
          <w:bCs/>
        </w:rPr>
        <w:t xml:space="preserve"> </w:t>
      </w:r>
      <w:r w:rsidR="00EC1B00">
        <w:t xml:space="preserve">και ειδικά σε περιπτώσεις που επικρατούν κλιματικές συνθήκες υψηλής επικινδυνότητας, </w:t>
      </w:r>
      <w:r w:rsidR="001D53B4" w:rsidRPr="001D53B4">
        <w:rPr>
          <w:bCs/>
        </w:rPr>
        <w:t>όλοι</w:t>
      </w:r>
      <w:r w:rsidR="001D53B4">
        <w:rPr>
          <w:b/>
          <w:bCs/>
        </w:rPr>
        <w:t xml:space="preserve"> </w:t>
      </w:r>
      <w:r w:rsidR="001D53B4">
        <w:rPr>
          <w:bCs/>
        </w:rPr>
        <w:t xml:space="preserve">οι αγρότες, κτηνοτρόφοι και μελισσοκόμοι </w:t>
      </w:r>
      <w:r w:rsidR="001D53B4" w:rsidRPr="001D53B4">
        <w:rPr>
          <w:bCs/>
        </w:rPr>
        <w:t xml:space="preserve">οφείλουν να είναι </w:t>
      </w:r>
      <w:r w:rsidR="00EC1B00">
        <w:t xml:space="preserve">ιδιαιτέρως </w:t>
      </w:r>
      <w:r w:rsidR="001D53B4" w:rsidRPr="001D53B4">
        <w:rPr>
          <w:bCs/>
        </w:rPr>
        <w:t xml:space="preserve">προσεκτικοί και να λαμβάνουν τα ενδεδειγμένα μέτρα και μέσα πυροπροστασίας, τα οποία συμβάλλουν είτε στην ελαχιστοποίηση πιθανότητας εκδήλωσης πυρκαγιάς, είτε στην άμεση και ευχερέστερη καταστολή </w:t>
      </w:r>
      <w:r w:rsidR="001D53B4">
        <w:rPr>
          <w:bCs/>
        </w:rPr>
        <w:t>αυτής</w:t>
      </w:r>
      <w:r w:rsidR="001D53B4" w:rsidRPr="001D53B4">
        <w:t xml:space="preserve"> </w:t>
      </w:r>
      <w:r w:rsidR="001D53B4">
        <w:t>και ειδικά σε περιπτώσεις που επικρατούν κλιματικές συνθήκες υψηλής επικινδυνότητας</w:t>
      </w:r>
      <w:r w:rsidR="001D53B4">
        <w:rPr>
          <w:bCs/>
        </w:rPr>
        <w:t>.</w:t>
      </w:r>
    </w:p>
    <w:p w:rsidR="001D53B4" w:rsidRDefault="00EC1B00" w:rsidP="001F3A40">
      <w:pPr>
        <w:spacing w:line="360" w:lineRule="auto"/>
        <w:ind w:left="-851" w:right="-625"/>
        <w:jc w:val="both"/>
      </w:pPr>
      <w:r w:rsidRPr="005A178C">
        <w:t>Επισημαίνουμε, ότι κατά την αντιπυρική περίοδο</w:t>
      </w:r>
    </w:p>
    <w:p w:rsidR="00EC1B00" w:rsidRDefault="00FE6198" w:rsidP="005B6179">
      <w:pPr>
        <w:numPr>
          <w:ilvl w:val="0"/>
          <w:numId w:val="4"/>
        </w:numPr>
        <w:spacing w:line="360" w:lineRule="auto"/>
        <w:ind w:left="-426" w:right="-625" w:hanging="425"/>
        <w:jc w:val="both"/>
      </w:pPr>
      <w:r>
        <w:t>απαγορεύεται</w:t>
      </w:r>
      <w:r w:rsidR="00416449">
        <w:t xml:space="preserve"> </w:t>
      </w:r>
      <w:r>
        <w:t>η</w:t>
      </w:r>
      <w:r w:rsidR="00416449">
        <w:t xml:space="preserve"> καύση υπολειμμάτων των κλαδεμάτων στις μόνιμες καλλιέργειες (δενδρώνες), συμπεριλαμβανομένων ελαιώνων και αμπελώνων,</w:t>
      </w:r>
    </w:p>
    <w:p w:rsidR="00201B9D" w:rsidRDefault="00FE6198" w:rsidP="005B6179">
      <w:pPr>
        <w:numPr>
          <w:ilvl w:val="0"/>
          <w:numId w:val="4"/>
        </w:numPr>
        <w:spacing w:line="360" w:lineRule="auto"/>
        <w:ind w:left="-426" w:right="-625" w:hanging="425"/>
        <w:jc w:val="both"/>
      </w:pPr>
      <w:r>
        <w:t>απαγορεύεται</w:t>
      </w:r>
      <w:r w:rsidR="005B6179">
        <w:t xml:space="preserve"> </w:t>
      </w:r>
      <w:r>
        <w:t>η</w:t>
      </w:r>
      <w:r w:rsidR="00A15246">
        <w:t xml:space="preserve"> καύση υπολειμμάτων καλλιέργειας</w:t>
      </w:r>
      <w:r w:rsidR="00201B9D">
        <w:t>,</w:t>
      </w:r>
      <w:r w:rsidR="00A15246">
        <w:t xml:space="preserve"> </w:t>
      </w:r>
      <w:r w:rsidR="00201B9D">
        <w:t>εξαιρουμένων των περιπτώσεων κατά τις οποίες συντρέχουν ιδιαίτεροι λόγοι φυτοπροστασίας, κατόπιν σχετικής άδειας από τη ΔΑΟΚ,</w:t>
      </w:r>
    </w:p>
    <w:p w:rsidR="00093177" w:rsidRDefault="00FE6198" w:rsidP="005B6179">
      <w:pPr>
        <w:numPr>
          <w:ilvl w:val="0"/>
          <w:numId w:val="4"/>
        </w:numPr>
        <w:spacing w:line="360" w:lineRule="auto"/>
        <w:ind w:left="-426" w:right="-625" w:hanging="425"/>
        <w:jc w:val="both"/>
      </w:pPr>
      <w:r>
        <w:t xml:space="preserve">απαγορεύεται η καύση </w:t>
      </w:r>
      <w:r w:rsidR="00093177" w:rsidRPr="00093177">
        <w:t xml:space="preserve">της υπάρχουσας βλάστησης </w:t>
      </w:r>
      <w:r w:rsidR="00093177">
        <w:t xml:space="preserve">από τους κτηνοτρόφους, προκειμένου </w:t>
      </w:r>
      <w:r w:rsidR="00093177" w:rsidRPr="00093177">
        <w:t xml:space="preserve">να παραχθεί νέα, κυρίως ποώδης βλάστηση, για να βοσκήσουν τα κοπάδια </w:t>
      </w:r>
      <w:r w:rsidR="00093177">
        <w:t>τους,</w:t>
      </w:r>
    </w:p>
    <w:p w:rsidR="00093177" w:rsidRPr="00093177" w:rsidRDefault="00093177" w:rsidP="005B6179">
      <w:pPr>
        <w:numPr>
          <w:ilvl w:val="0"/>
          <w:numId w:val="4"/>
        </w:numPr>
        <w:spacing w:line="360" w:lineRule="auto"/>
        <w:ind w:left="-426" w:right="-625" w:hanging="425"/>
        <w:jc w:val="both"/>
      </w:pPr>
      <w:r w:rsidRPr="005A178C">
        <w:t>το κάπνισμα των μελισσών</w:t>
      </w:r>
      <w:r>
        <w:t xml:space="preserve"> να πραγματοποιείται με ιδιαίτερη προσοχή, εφόσον πληρούνται σωρευτικά τα προληπτικά και λοιπά μέτρα και μέσα πυροπροστασίας που ορίζονται στην υπ’ αρ. 9/2021 Πυροσβεστική Διάταξη,</w:t>
      </w:r>
    </w:p>
    <w:p w:rsidR="006F7EC8" w:rsidRDefault="006F7EC8" w:rsidP="005B6179">
      <w:pPr>
        <w:numPr>
          <w:ilvl w:val="0"/>
          <w:numId w:val="4"/>
        </w:numPr>
        <w:spacing w:line="360" w:lineRule="auto"/>
        <w:ind w:left="-426" w:right="-625" w:hanging="425"/>
        <w:jc w:val="both"/>
      </w:pPr>
      <w:r>
        <w:lastRenderedPageBreak/>
        <w:t>σε περιπτώσεις που επικρατούν κλιματικές συνθήκες υψηλής επικινδυνότητας, αποφυγή</w:t>
      </w:r>
      <w:r w:rsidRPr="006F7EC8">
        <w:t xml:space="preserve"> </w:t>
      </w:r>
      <w:r w:rsidR="00340C77">
        <w:t>χρήσης διαφόρων</w:t>
      </w:r>
      <w:r w:rsidRPr="006F7EC8">
        <w:t xml:space="preserve"> μηχανημάτων όπως αλυσοπρίονα, </w:t>
      </w:r>
      <w:r>
        <w:t>συσκευές συγκόλλησης</w:t>
      </w:r>
      <w:r w:rsidRPr="006F7EC8">
        <w:t xml:space="preserve">, κλπ., </w:t>
      </w:r>
      <w:r>
        <w:t xml:space="preserve">διότι είναι δυνατό να προκληθούν </w:t>
      </w:r>
      <w:r w:rsidRPr="006F7EC8">
        <w:t xml:space="preserve">σπινθήρες κατά τη χρήση τους </w:t>
      </w:r>
      <w:r>
        <w:t>ή</w:t>
      </w:r>
      <w:r w:rsidRPr="006F7EC8">
        <w:t xml:space="preserve"> κατά τη διάρκεια του ανεφοδιασμού </w:t>
      </w:r>
      <w:r>
        <w:t xml:space="preserve">τους </w:t>
      </w:r>
      <w:r w:rsidRPr="006F7EC8">
        <w:t>με καύσιμα ενώ είναι ακόμη ζεστά</w:t>
      </w:r>
      <w:r>
        <w:t>,</w:t>
      </w:r>
    </w:p>
    <w:p w:rsidR="009B1F21" w:rsidRDefault="000B1F8D" w:rsidP="005B6179">
      <w:pPr>
        <w:numPr>
          <w:ilvl w:val="0"/>
          <w:numId w:val="4"/>
        </w:numPr>
        <w:spacing w:line="360" w:lineRule="auto"/>
        <w:ind w:left="-426" w:right="-625" w:hanging="425"/>
        <w:jc w:val="both"/>
      </w:pPr>
      <w:r>
        <w:t>καλή συντήρηση και καθαρισμός αγροτικών</w:t>
      </w:r>
      <w:r w:rsidR="009B1F21" w:rsidRPr="009B1F21">
        <w:t xml:space="preserve"> </w:t>
      </w:r>
      <w:r>
        <w:t>μηχανημάτων</w:t>
      </w:r>
      <w:r w:rsidR="009B1F21" w:rsidRPr="009B1F21">
        <w:t xml:space="preserve"> όπως </w:t>
      </w:r>
      <w:r w:rsidR="005E21C5">
        <w:t>γεωργικ</w:t>
      </w:r>
      <w:r>
        <w:t>ών</w:t>
      </w:r>
      <w:r w:rsidR="005E21C5">
        <w:t xml:space="preserve"> ελκυστήρ</w:t>
      </w:r>
      <w:r>
        <w:t>ων, καταστροφέων,</w:t>
      </w:r>
      <w:r w:rsidR="009B1F21" w:rsidRPr="009B1F21">
        <w:t xml:space="preserve"> που </w:t>
      </w:r>
      <w:r w:rsidR="005E21C5">
        <w:t xml:space="preserve">μπορεί να </w:t>
      </w:r>
      <w:r w:rsidR="009B1F21" w:rsidRPr="009B1F21">
        <w:t>προξεν</w:t>
      </w:r>
      <w:r w:rsidR="005E21C5">
        <w:t>ήσουν</w:t>
      </w:r>
      <w:r w:rsidR="009B1F21" w:rsidRPr="009B1F21">
        <w:t xml:space="preserve"> σπινθήρες (π.χ. από την εξάτμιση, από κτύπημα μεταλλικών μερών σε βράχους</w:t>
      </w:r>
      <w:r>
        <w:t>)</w:t>
      </w:r>
      <w:r w:rsidR="009B1F21" w:rsidRPr="009B1F21">
        <w:t xml:space="preserve">, </w:t>
      </w:r>
    </w:p>
    <w:p w:rsidR="00D34B6C" w:rsidRPr="00D34B6C" w:rsidRDefault="00D34B6C" w:rsidP="005B6179">
      <w:pPr>
        <w:numPr>
          <w:ilvl w:val="0"/>
          <w:numId w:val="4"/>
        </w:numPr>
        <w:spacing w:line="360" w:lineRule="auto"/>
        <w:ind w:left="-426" w:right="-625" w:hanging="425"/>
        <w:jc w:val="both"/>
      </w:pPr>
      <w:r>
        <w:t>αποφυγή</w:t>
      </w:r>
      <w:r w:rsidRPr="00D34B6C">
        <w:t xml:space="preserve"> επαφή</w:t>
      </w:r>
      <w:r>
        <w:t>ς</w:t>
      </w:r>
      <w:r w:rsidRPr="00D34B6C">
        <w:t xml:space="preserve"> ξερών χόρτων με καταλύτες και εξατμίσεις αυτοκινήτων</w:t>
      </w:r>
      <w:r>
        <w:t>,</w:t>
      </w:r>
    </w:p>
    <w:p w:rsidR="00D34B6C" w:rsidRPr="009B1F21" w:rsidRDefault="005B6179" w:rsidP="005B6179">
      <w:pPr>
        <w:numPr>
          <w:ilvl w:val="0"/>
          <w:numId w:val="4"/>
        </w:numPr>
        <w:spacing w:line="360" w:lineRule="auto"/>
        <w:ind w:left="-426" w:right="-625" w:hanging="425"/>
        <w:jc w:val="both"/>
      </w:pPr>
      <w:r>
        <w:t xml:space="preserve">αποφυγή χρήσης </w:t>
      </w:r>
      <w:r w:rsidRPr="005B6179">
        <w:t>φωτιά</w:t>
      </w:r>
      <w:r>
        <w:t>ς</w:t>
      </w:r>
      <w:r w:rsidRPr="005B6179">
        <w:t xml:space="preserve"> στις </w:t>
      </w:r>
      <w:r>
        <w:t>γ</w:t>
      </w:r>
      <w:r w:rsidRPr="005B6179">
        <w:t>εωργοκτηνοτροφικές κτιριακές</w:t>
      </w:r>
      <w:r>
        <w:t xml:space="preserve"> </w:t>
      </w:r>
      <w:r w:rsidRPr="005B6179">
        <w:t>εγκαταστάσεις</w:t>
      </w:r>
      <w:r>
        <w:t xml:space="preserve">. </w:t>
      </w:r>
      <w:r w:rsidRPr="005B6179">
        <w:t xml:space="preserve">Αν όμως είναι απαραίτητο τότε: </w:t>
      </w:r>
    </w:p>
    <w:p w:rsidR="005B6179" w:rsidRPr="005B6179" w:rsidRDefault="005B6179" w:rsidP="005B6179">
      <w:pPr>
        <w:numPr>
          <w:ilvl w:val="0"/>
          <w:numId w:val="5"/>
        </w:numPr>
        <w:spacing w:line="360" w:lineRule="auto"/>
        <w:ind w:right="-625"/>
        <w:jc w:val="both"/>
      </w:pPr>
      <w:r>
        <w:t>τ</w:t>
      </w:r>
      <w:r w:rsidRPr="005B6179">
        <w:t>οποθ</w:t>
      </w:r>
      <w:r>
        <w:t>έτηση</w:t>
      </w:r>
      <w:r w:rsidRPr="005B6179">
        <w:t xml:space="preserve"> στις καπνοδόχους ειδικ</w:t>
      </w:r>
      <w:r>
        <w:t>ών</w:t>
      </w:r>
      <w:r w:rsidRPr="005B6179">
        <w:t xml:space="preserve"> συσκευ</w:t>
      </w:r>
      <w:r>
        <w:t>ών</w:t>
      </w:r>
      <w:r w:rsidRPr="005B6179">
        <w:t xml:space="preserve"> για να μην φεύγουν σπινθήρες</w:t>
      </w:r>
      <w:r>
        <w:t>,</w:t>
      </w:r>
    </w:p>
    <w:p w:rsidR="005B6179" w:rsidRPr="005B6179" w:rsidRDefault="005B6179" w:rsidP="005B6179">
      <w:pPr>
        <w:numPr>
          <w:ilvl w:val="0"/>
          <w:numId w:val="5"/>
        </w:numPr>
        <w:spacing w:line="360" w:lineRule="auto"/>
        <w:ind w:right="-625"/>
        <w:jc w:val="both"/>
      </w:pPr>
      <w:r>
        <w:t>καθαρισμός</w:t>
      </w:r>
      <w:r w:rsidRPr="005B6179">
        <w:t xml:space="preserve"> </w:t>
      </w:r>
      <w:r>
        <w:t>των</w:t>
      </w:r>
      <w:r w:rsidRPr="005B6179">
        <w:t xml:space="preserve"> </w:t>
      </w:r>
      <w:r>
        <w:t>καπνοδόχων</w:t>
      </w:r>
      <w:r w:rsidRPr="005B6179">
        <w:t xml:space="preserve">. </w:t>
      </w:r>
    </w:p>
    <w:p w:rsidR="005B6179" w:rsidRPr="005B6179" w:rsidRDefault="005B6179" w:rsidP="005B6179">
      <w:pPr>
        <w:numPr>
          <w:ilvl w:val="0"/>
          <w:numId w:val="5"/>
        </w:numPr>
        <w:spacing w:line="360" w:lineRule="auto"/>
        <w:ind w:right="-625"/>
        <w:jc w:val="both"/>
      </w:pPr>
      <w:r>
        <w:t>σβήσιμο</w:t>
      </w:r>
      <w:r w:rsidRPr="005B6179">
        <w:t xml:space="preserve"> τη</w:t>
      </w:r>
      <w:r>
        <w:t>ς</w:t>
      </w:r>
      <w:r w:rsidRPr="005B6179">
        <w:t xml:space="preserve"> φωτιά</w:t>
      </w:r>
      <w:r>
        <w:t>ς</w:t>
      </w:r>
      <w:r w:rsidRPr="005B6179">
        <w:t xml:space="preserve"> στο τέλος της χρήσης</w:t>
      </w:r>
      <w:r>
        <w:t>,</w:t>
      </w:r>
    </w:p>
    <w:p w:rsidR="005B6179" w:rsidRPr="005B6179" w:rsidRDefault="005B6179" w:rsidP="005B6179">
      <w:pPr>
        <w:numPr>
          <w:ilvl w:val="0"/>
          <w:numId w:val="5"/>
        </w:numPr>
        <w:spacing w:line="360" w:lineRule="auto"/>
        <w:ind w:right="-625"/>
        <w:jc w:val="both"/>
      </w:pPr>
      <w:r>
        <w:t xml:space="preserve">φροντίδα </w:t>
      </w:r>
      <w:r w:rsidRPr="005B6179">
        <w:t xml:space="preserve"> να υπάρχει άμεσα διαθέσιμο νερό για πυρόσβεση</w:t>
      </w:r>
      <w:r>
        <w:t>,</w:t>
      </w:r>
    </w:p>
    <w:p w:rsidR="005B6179" w:rsidRPr="005B6179" w:rsidRDefault="005B6179" w:rsidP="005B6179">
      <w:pPr>
        <w:numPr>
          <w:ilvl w:val="0"/>
          <w:numId w:val="5"/>
        </w:numPr>
        <w:spacing w:line="360" w:lineRule="auto"/>
        <w:ind w:right="-625"/>
        <w:jc w:val="both"/>
      </w:pPr>
      <w:r>
        <w:t>διατήρηση</w:t>
      </w:r>
      <w:r w:rsidRPr="005B6179">
        <w:t xml:space="preserve"> το</w:t>
      </w:r>
      <w:r>
        <w:t>υ</w:t>
      </w:r>
      <w:r w:rsidRPr="005B6179">
        <w:t xml:space="preserve"> χώρο</w:t>
      </w:r>
      <w:r>
        <w:t>υ</w:t>
      </w:r>
      <w:r w:rsidRPr="005B6179">
        <w:t xml:space="preserve"> γύρω από τη φωτιά καθαρό. </w:t>
      </w:r>
    </w:p>
    <w:p w:rsidR="0025242C" w:rsidRPr="005A178C" w:rsidRDefault="0025242C" w:rsidP="0025242C">
      <w:pPr>
        <w:spacing w:line="360" w:lineRule="auto"/>
        <w:ind w:left="-851" w:right="-625"/>
        <w:jc w:val="both"/>
      </w:pPr>
      <w:r>
        <w:t xml:space="preserve">Η καύση υπολειμμάτων καλλιέργειας αποτελεί </w:t>
      </w:r>
      <w:r w:rsidRPr="005A178C">
        <w:t>λανθασμένη πρακτική</w:t>
      </w:r>
      <w:r>
        <w:t xml:space="preserve"> και αντίκειται στους </w:t>
      </w:r>
      <w:r w:rsidRPr="005A178C">
        <w:t>Κώδικες Ορθής Γεωργικής Πρακτικής,</w:t>
      </w:r>
      <w:r w:rsidRPr="0025242C">
        <w:t xml:space="preserve"> </w:t>
      </w:r>
      <w:r>
        <w:t xml:space="preserve">με </w:t>
      </w:r>
      <w:r w:rsidRPr="005A178C">
        <w:t>δυσμενείς συνέπειες για το έδαφος, το περιβάλλον και την υγεία των ανθρώπων</w:t>
      </w:r>
      <w:r>
        <w:t xml:space="preserve">. </w:t>
      </w:r>
      <w:r w:rsidRPr="005A178C">
        <w:t>Η καύση καταστρέφει την οργανική ουσία, υποβαθμίζει το έδαφος και μειώνει τις μελλοντικές αποδόσεις των καλλιεργειών. Η φωτιά εξοντώνει τους πληθυσμούς των ωφέλιμων εντόμων χωρίς να επηρεάζει τους πληθυσμούς των επιβλαβών εντόμων που διαχειμάζουν στο έδαφος, με συνέπεια να εντείνεται η καταστρεπτική τους δράση την επόμενη καλλιεργητική περίοδο.</w:t>
      </w:r>
    </w:p>
    <w:p w:rsidR="00FE6198" w:rsidRDefault="00381277" w:rsidP="00703583">
      <w:pPr>
        <w:spacing w:line="360" w:lineRule="auto"/>
        <w:ind w:left="-851" w:right="-625"/>
        <w:jc w:val="both"/>
      </w:pPr>
      <w:r>
        <w:t xml:space="preserve">Για </w:t>
      </w:r>
      <w:r w:rsidRPr="005A178C">
        <w:t>τη διαχείριση των υπολειμμάτων των καλλιεργειών (καλαμιές), συνιστούνται</w:t>
      </w:r>
      <w:r w:rsidR="00767358">
        <w:t>:</w:t>
      </w:r>
      <w:r w:rsidRPr="005A178C">
        <w:t xml:space="preserve"> </w:t>
      </w:r>
    </w:p>
    <w:p w:rsidR="00FE6198" w:rsidRDefault="00703583" w:rsidP="00767358">
      <w:pPr>
        <w:numPr>
          <w:ilvl w:val="0"/>
          <w:numId w:val="7"/>
        </w:numPr>
        <w:spacing w:line="360" w:lineRule="auto"/>
        <w:ind w:left="-426" w:right="-625" w:hanging="283"/>
        <w:jc w:val="both"/>
      </w:pPr>
      <w:r>
        <w:t xml:space="preserve">η </w:t>
      </w:r>
      <w:r w:rsidR="001E03A0">
        <w:t>ά</w:t>
      </w:r>
      <w:r w:rsidR="00381277" w:rsidRPr="005A178C">
        <w:t>μεση ενσωμάτωση στο έδαφος</w:t>
      </w:r>
      <w:r>
        <w:t xml:space="preserve">, </w:t>
      </w:r>
    </w:p>
    <w:p w:rsidR="00381277" w:rsidRPr="00767358" w:rsidRDefault="00703583" w:rsidP="00767358">
      <w:pPr>
        <w:numPr>
          <w:ilvl w:val="0"/>
          <w:numId w:val="7"/>
        </w:numPr>
        <w:spacing w:line="360" w:lineRule="auto"/>
        <w:ind w:left="-426" w:right="-625" w:hanging="283"/>
        <w:jc w:val="both"/>
      </w:pPr>
      <w:r>
        <w:t xml:space="preserve">η </w:t>
      </w:r>
      <w:r w:rsidR="001E03A0">
        <w:t>β</w:t>
      </w:r>
      <w:r w:rsidR="00381277" w:rsidRPr="005A178C">
        <w:t xml:space="preserve">όσκηση </w:t>
      </w:r>
      <w:r w:rsidR="00FE6198" w:rsidRPr="00767358">
        <w:t xml:space="preserve">της καλαμιάς </w:t>
      </w:r>
      <w:r w:rsidR="00381277" w:rsidRPr="005A178C">
        <w:t xml:space="preserve">και κατόπιν </w:t>
      </w:r>
      <w:r w:rsidR="00FE6198" w:rsidRPr="00767358">
        <w:t>ενσωμάτωση στο έδαφος των υπολειμμάτων μετά τη βόσκηση</w:t>
      </w:r>
      <w:r w:rsidR="00767358">
        <w:t>,</w:t>
      </w:r>
    </w:p>
    <w:p w:rsidR="00FE6198" w:rsidRPr="005A178C" w:rsidRDefault="00767358" w:rsidP="00767358">
      <w:pPr>
        <w:numPr>
          <w:ilvl w:val="0"/>
          <w:numId w:val="7"/>
        </w:numPr>
        <w:spacing w:line="360" w:lineRule="auto"/>
        <w:ind w:left="-426" w:right="-625" w:hanging="283"/>
        <w:jc w:val="both"/>
      </w:pPr>
      <w:r>
        <w:t>κ</w:t>
      </w:r>
      <w:r w:rsidR="00FE6198" w:rsidRPr="00767358">
        <w:t>οπή, κάλυψη</w:t>
      </w:r>
      <w:r w:rsidR="000B1F8D">
        <w:t xml:space="preserve"> του εδάφους με τα υπολείμματα </w:t>
      </w:r>
      <w:r w:rsidR="00FE6198" w:rsidRPr="00767358">
        <w:t>και ενσωμάτωσή τους στο έδαφος την επόμενη άνοιξη</w:t>
      </w:r>
    </w:p>
    <w:p w:rsidR="000B1F8D" w:rsidRDefault="000B1F8D" w:rsidP="001F3A40">
      <w:pPr>
        <w:spacing w:line="360" w:lineRule="auto"/>
        <w:ind w:left="-851" w:right="-625"/>
        <w:jc w:val="both"/>
      </w:pPr>
      <w:r w:rsidRPr="000B1F8D">
        <w:t xml:space="preserve">Μια σωστή διαχείριση συσσωρευμένων κλαδεμάτων </w:t>
      </w:r>
      <w:r>
        <w:t xml:space="preserve">δενδρωδών καλλιεργειών </w:t>
      </w:r>
      <w:r w:rsidRPr="000B1F8D">
        <w:t>χωρίς την χρήση καύσης, θα αποτελούσε η χρήση μηχανημάτων θραύσης αυτών</w:t>
      </w:r>
      <w:r>
        <w:t>.</w:t>
      </w:r>
    </w:p>
    <w:p w:rsidR="006662C6" w:rsidRPr="006662C6" w:rsidRDefault="001E03A0" w:rsidP="006662C6">
      <w:pPr>
        <w:spacing w:line="360" w:lineRule="auto"/>
        <w:ind w:left="-851" w:right="-625"/>
        <w:jc w:val="both"/>
      </w:pPr>
      <w:r w:rsidRPr="001E03A0">
        <w:t>Αν για οποιοδήποτε λόγο μια γεωργική φωτιά ξεφύγει από το έλεγχο και ξεκινάει ανεξέλεγκτη πορεία, είτε είναι στην ευθύνη ενός γεωργού ή κτηνοτρόφου είτε προέρχεται από αμέλεια κάποιου άλλου, πρέπει αμέσως να ειδοποιηθεί η Πυροσβεστική Υπηρεσία στον αριθμό</w:t>
      </w:r>
      <w:r>
        <w:t xml:space="preserve"> 199.</w:t>
      </w:r>
    </w:p>
    <w:sectPr w:rsidR="006662C6" w:rsidRPr="006662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F5DF3"/>
    <w:multiLevelType w:val="hybridMultilevel"/>
    <w:tmpl w:val="1C98780E"/>
    <w:lvl w:ilvl="0" w:tplc="04080001">
      <w:start w:val="1"/>
      <w:numFmt w:val="bullet"/>
      <w:lvlText w:val=""/>
      <w:lvlJc w:val="left"/>
      <w:pPr>
        <w:tabs>
          <w:tab w:val="num" w:pos="539"/>
        </w:tabs>
        <w:ind w:left="53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259"/>
        </w:tabs>
        <w:ind w:left="125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979"/>
        </w:tabs>
        <w:ind w:left="197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699"/>
        </w:tabs>
        <w:ind w:left="269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419"/>
        </w:tabs>
        <w:ind w:left="341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139"/>
        </w:tabs>
        <w:ind w:left="413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859"/>
        </w:tabs>
        <w:ind w:left="485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579"/>
        </w:tabs>
        <w:ind w:left="557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299"/>
        </w:tabs>
        <w:ind w:left="6299" w:hanging="360"/>
      </w:pPr>
      <w:rPr>
        <w:rFonts w:ascii="Wingdings" w:hAnsi="Wingdings" w:hint="default"/>
      </w:rPr>
    </w:lvl>
  </w:abstractNum>
  <w:abstractNum w:abstractNumId="1">
    <w:nsid w:val="192313F9"/>
    <w:multiLevelType w:val="hybridMultilevel"/>
    <w:tmpl w:val="66AE985E"/>
    <w:lvl w:ilvl="0" w:tplc="0408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2C6258D2"/>
    <w:multiLevelType w:val="hybridMultilevel"/>
    <w:tmpl w:val="747C3DA8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42CE1D75"/>
    <w:multiLevelType w:val="multilevel"/>
    <w:tmpl w:val="96966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BD5BF8"/>
    <w:multiLevelType w:val="hybridMultilevel"/>
    <w:tmpl w:val="13BA4A8A"/>
    <w:lvl w:ilvl="0" w:tplc="0408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5DB07704"/>
    <w:multiLevelType w:val="hybridMultilevel"/>
    <w:tmpl w:val="71E02B54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F9B4D78"/>
    <w:multiLevelType w:val="hybridMultilevel"/>
    <w:tmpl w:val="8A52E50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compat/>
  <w:rsids>
    <w:rsidRoot w:val="00A9165F"/>
    <w:rsid w:val="00003D18"/>
    <w:rsid w:val="00007AAA"/>
    <w:rsid w:val="00016719"/>
    <w:rsid w:val="00030E0C"/>
    <w:rsid w:val="00060009"/>
    <w:rsid w:val="000714B1"/>
    <w:rsid w:val="00074722"/>
    <w:rsid w:val="00075C70"/>
    <w:rsid w:val="00093177"/>
    <w:rsid w:val="000A2B6C"/>
    <w:rsid w:val="000B161C"/>
    <w:rsid w:val="000B1F8D"/>
    <w:rsid w:val="000B3B88"/>
    <w:rsid w:val="000C3A5D"/>
    <w:rsid w:val="000D6D92"/>
    <w:rsid w:val="000E468F"/>
    <w:rsid w:val="000F22ED"/>
    <w:rsid w:val="001124E2"/>
    <w:rsid w:val="00114A2A"/>
    <w:rsid w:val="00115EA5"/>
    <w:rsid w:val="00121FCE"/>
    <w:rsid w:val="00127857"/>
    <w:rsid w:val="00150651"/>
    <w:rsid w:val="00152413"/>
    <w:rsid w:val="001630BD"/>
    <w:rsid w:val="00172BB1"/>
    <w:rsid w:val="001761A0"/>
    <w:rsid w:val="00193569"/>
    <w:rsid w:val="00193660"/>
    <w:rsid w:val="001D53B4"/>
    <w:rsid w:val="001D6DCA"/>
    <w:rsid w:val="001E03A0"/>
    <w:rsid w:val="001E4FCC"/>
    <w:rsid w:val="001E5316"/>
    <w:rsid w:val="001F0910"/>
    <w:rsid w:val="001F3A40"/>
    <w:rsid w:val="001F7DBE"/>
    <w:rsid w:val="001F7EA8"/>
    <w:rsid w:val="002019A8"/>
    <w:rsid w:val="00201B9D"/>
    <w:rsid w:val="0025242C"/>
    <w:rsid w:val="00256EDD"/>
    <w:rsid w:val="002611FD"/>
    <w:rsid w:val="002627EF"/>
    <w:rsid w:val="0026322B"/>
    <w:rsid w:val="00270327"/>
    <w:rsid w:val="002779ED"/>
    <w:rsid w:val="002870D0"/>
    <w:rsid w:val="00293ED2"/>
    <w:rsid w:val="002A21DD"/>
    <w:rsid w:val="002A4D21"/>
    <w:rsid w:val="002B58B8"/>
    <w:rsid w:val="002C59BC"/>
    <w:rsid w:val="002D2853"/>
    <w:rsid w:val="002D35B5"/>
    <w:rsid w:val="00334D75"/>
    <w:rsid w:val="00337A00"/>
    <w:rsid w:val="00340C77"/>
    <w:rsid w:val="00362472"/>
    <w:rsid w:val="00381277"/>
    <w:rsid w:val="00384B79"/>
    <w:rsid w:val="00385EA6"/>
    <w:rsid w:val="003A7B9E"/>
    <w:rsid w:val="003E392A"/>
    <w:rsid w:val="003E7AED"/>
    <w:rsid w:val="003F4014"/>
    <w:rsid w:val="003F68D5"/>
    <w:rsid w:val="003F735C"/>
    <w:rsid w:val="00416449"/>
    <w:rsid w:val="004205E2"/>
    <w:rsid w:val="0042218A"/>
    <w:rsid w:val="004316DE"/>
    <w:rsid w:val="00444B09"/>
    <w:rsid w:val="00456F3E"/>
    <w:rsid w:val="00460B39"/>
    <w:rsid w:val="00495A6F"/>
    <w:rsid w:val="004B0DBC"/>
    <w:rsid w:val="004E455D"/>
    <w:rsid w:val="00504DFD"/>
    <w:rsid w:val="00514AB2"/>
    <w:rsid w:val="00526C7E"/>
    <w:rsid w:val="005323D9"/>
    <w:rsid w:val="005623A8"/>
    <w:rsid w:val="00572226"/>
    <w:rsid w:val="00576E75"/>
    <w:rsid w:val="00577FC4"/>
    <w:rsid w:val="00597D78"/>
    <w:rsid w:val="005A3988"/>
    <w:rsid w:val="005B6179"/>
    <w:rsid w:val="005C5FC9"/>
    <w:rsid w:val="005C796E"/>
    <w:rsid w:val="005D7994"/>
    <w:rsid w:val="005D7EE1"/>
    <w:rsid w:val="005E21C5"/>
    <w:rsid w:val="006002F7"/>
    <w:rsid w:val="00627466"/>
    <w:rsid w:val="00627934"/>
    <w:rsid w:val="006343F7"/>
    <w:rsid w:val="00660E2E"/>
    <w:rsid w:val="00661520"/>
    <w:rsid w:val="006662C6"/>
    <w:rsid w:val="006C6069"/>
    <w:rsid w:val="006D79E1"/>
    <w:rsid w:val="006F4BB5"/>
    <w:rsid w:val="006F7EC8"/>
    <w:rsid w:val="00703583"/>
    <w:rsid w:val="0070511A"/>
    <w:rsid w:val="007141AE"/>
    <w:rsid w:val="00716D50"/>
    <w:rsid w:val="0073218B"/>
    <w:rsid w:val="0076605C"/>
    <w:rsid w:val="00767358"/>
    <w:rsid w:val="00776DEC"/>
    <w:rsid w:val="00795036"/>
    <w:rsid w:val="00797736"/>
    <w:rsid w:val="007A4DBA"/>
    <w:rsid w:val="007A4F34"/>
    <w:rsid w:val="007A7ECF"/>
    <w:rsid w:val="007B7824"/>
    <w:rsid w:val="007D2044"/>
    <w:rsid w:val="007D4E4E"/>
    <w:rsid w:val="007D7044"/>
    <w:rsid w:val="00825899"/>
    <w:rsid w:val="0083547E"/>
    <w:rsid w:val="00881930"/>
    <w:rsid w:val="00891FA2"/>
    <w:rsid w:val="008A5C65"/>
    <w:rsid w:val="008B0868"/>
    <w:rsid w:val="008C065F"/>
    <w:rsid w:val="008C5C65"/>
    <w:rsid w:val="008F0C68"/>
    <w:rsid w:val="008F38B4"/>
    <w:rsid w:val="008F67C5"/>
    <w:rsid w:val="0090620E"/>
    <w:rsid w:val="00911F84"/>
    <w:rsid w:val="00917052"/>
    <w:rsid w:val="00940176"/>
    <w:rsid w:val="00941CDE"/>
    <w:rsid w:val="00947968"/>
    <w:rsid w:val="00954A36"/>
    <w:rsid w:val="00963743"/>
    <w:rsid w:val="009772EB"/>
    <w:rsid w:val="009A1D13"/>
    <w:rsid w:val="009B1F21"/>
    <w:rsid w:val="009C46F2"/>
    <w:rsid w:val="009C7D1F"/>
    <w:rsid w:val="009D2805"/>
    <w:rsid w:val="009E73AF"/>
    <w:rsid w:val="00A15246"/>
    <w:rsid w:val="00A620EA"/>
    <w:rsid w:val="00A71E2E"/>
    <w:rsid w:val="00A762DA"/>
    <w:rsid w:val="00A9165F"/>
    <w:rsid w:val="00A97270"/>
    <w:rsid w:val="00AC0561"/>
    <w:rsid w:val="00AD232A"/>
    <w:rsid w:val="00AF23DF"/>
    <w:rsid w:val="00AF2B5E"/>
    <w:rsid w:val="00AF6035"/>
    <w:rsid w:val="00B04559"/>
    <w:rsid w:val="00B4321F"/>
    <w:rsid w:val="00B86323"/>
    <w:rsid w:val="00BB757B"/>
    <w:rsid w:val="00BC4676"/>
    <w:rsid w:val="00BF1A1E"/>
    <w:rsid w:val="00BF319B"/>
    <w:rsid w:val="00C12EB7"/>
    <w:rsid w:val="00C274A3"/>
    <w:rsid w:val="00C469B0"/>
    <w:rsid w:val="00C54A1A"/>
    <w:rsid w:val="00C61182"/>
    <w:rsid w:val="00C97E09"/>
    <w:rsid w:val="00CC1110"/>
    <w:rsid w:val="00CD1E57"/>
    <w:rsid w:val="00CE7C10"/>
    <w:rsid w:val="00CF03C1"/>
    <w:rsid w:val="00D06B78"/>
    <w:rsid w:val="00D233A5"/>
    <w:rsid w:val="00D34B6C"/>
    <w:rsid w:val="00D40053"/>
    <w:rsid w:val="00D45DE5"/>
    <w:rsid w:val="00D637DA"/>
    <w:rsid w:val="00D6606C"/>
    <w:rsid w:val="00D9244E"/>
    <w:rsid w:val="00DB1FF5"/>
    <w:rsid w:val="00DB5396"/>
    <w:rsid w:val="00DC7BCA"/>
    <w:rsid w:val="00DD3C46"/>
    <w:rsid w:val="00DE53B6"/>
    <w:rsid w:val="00E10CD5"/>
    <w:rsid w:val="00E12165"/>
    <w:rsid w:val="00E2391C"/>
    <w:rsid w:val="00E30C63"/>
    <w:rsid w:val="00E475C9"/>
    <w:rsid w:val="00E673F7"/>
    <w:rsid w:val="00E67AEC"/>
    <w:rsid w:val="00E71084"/>
    <w:rsid w:val="00EA3FDB"/>
    <w:rsid w:val="00EA521E"/>
    <w:rsid w:val="00EB571C"/>
    <w:rsid w:val="00EC1B00"/>
    <w:rsid w:val="00EC26BA"/>
    <w:rsid w:val="00EC6697"/>
    <w:rsid w:val="00ED6465"/>
    <w:rsid w:val="00EE6374"/>
    <w:rsid w:val="00F005CD"/>
    <w:rsid w:val="00F13DCF"/>
    <w:rsid w:val="00F34734"/>
    <w:rsid w:val="00F66530"/>
    <w:rsid w:val="00F741DE"/>
    <w:rsid w:val="00F82FF2"/>
    <w:rsid w:val="00F9561A"/>
    <w:rsid w:val="00FB5853"/>
    <w:rsid w:val="00FE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1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5D7994"/>
    <w:rPr>
      <w:color w:val="0000FF"/>
      <w:u w:val="single"/>
    </w:rPr>
  </w:style>
  <w:style w:type="character" w:styleId="a4">
    <w:name w:val="Strong"/>
    <w:basedOn w:val="a0"/>
    <w:uiPriority w:val="22"/>
    <w:qFormat/>
    <w:rsid w:val="00334D75"/>
    <w:rPr>
      <w:b/>
      <w:bCs/>
    </w:rPr>
  </w:style>
  <w:style w:type="character" w:customStyle="1" w:styleId="markedcontent">
    <w:name w:val="markedcontent"/>
    <w:basedOn w:val="a0"/>
    <w:rsid w:val="00172BB1"/>
  </w:style>
  <w:style w:type="paragraph" w:customStyle="1" w:styleId="Default">
    <w:name w:val="Default"/>
    <w:rsid w:val="0009317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030E0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3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5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ntiperiferiarxis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DC7EE-7A04-4835-B4B3-364AE7024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610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Κ.τ.Π.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ΚΑΤΣΑΜΠΑΝΗΣ</dc:creator>
  <cp:lastModifiedBy>User</cp:lastModifiedBy>
  <cp:revision>2</cp:revision>
  <cp:lastPrinted>2012-05-08T10:00:00Z</cp:lastPrinted>
  <dcterms:created xsi:type="dcterms:W3CDTF">2022-05-31T08:54:00Z</dcterms:created>
  <dcterms:modified xsi:type="dcterms:W3CDTF">2022-05-31T08:54:00Z</dcterms:modified>
</cp:coreProperties>
</file>