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AE47B4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4822E7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4822E7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1E36F2D6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9B3EA1">
        <w:rPr>
          <w:rFonts w:ascii="Calibri" w:hAnsi="Calibri" w:cs="Calibri"/>
          <w:sz w:val="22"/>
          <w:szCs w:val="22"/>
        </w:rPr>
        <w:t xml:space="preserve">Τετάρτη </w:t>
      </w:r>
      <w:r w:rsidR="003536B3">
        <w:rPr>
          <w:rFonts w:ascii="Calibri" w:hAnsi="Calibri" w:cs="Calibri"/>
          <w:sz w:val="22"/>
          <w:szCs w:val="22"/>
        </w:rPr>
        <w:t>0</w:t>
      </w:r>
      <w:r w:rsidR="009B3EA1">
        <w:rPr>
          <w:rFonts w:ascii="Calibri" w:hAnsi="Calibri" w:cs="Calibri"/>
          <w:sz w:val="22"/>
          <w:szCs w:val="22"/>
        </w:rPr>
        <w:t>3 Απριλίου</w:t>
      </w:r>
      <w:r>
        <w:rPr>
          <w:rFonts w:ascii="Calibri" w:hAnsi="Calibri" w:cs="Calibri"/>
          <w:sz w:val="22"/>
          <w:szCs w:val="22"/>
        </w:rPr>
        <w:t xml:space="preserve"> 2024 και ώρα </w:t>
      </w:r>
      <w:r w:rsidR="009B3EA1">
        <w:rPr>
          <w:rFonts w:ascii="Calibri" w:hAnsi="Calibri" w:cs="Calibri"/>
          <w:sz w:val="22"/>
          <w:szCs w:val="22"/>
        </w:rPr>
        <w:t>10:30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C75001"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518"/>
        <w:gridCol w:w="1528"/>
        <w:gridCol w:w="4562"/>
      </w:tblGrid>
      <w:tr w:rsidR="004227F5" w14:paraId="09BFFE8B" w14:textId="77777777" w:rsidTr="003274DF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3E7232DD" w:rsidR="004227F5" w:rsidRPr="00551D66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E40C27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</w:t>
            </w:r>
            <w:r w:rsidR="003E74B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E40C27" w:rsidRPr="00E40C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15A81AAC" w:rsidR="004227F5" w:rsidRDefault="001F1C8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90822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F8A104" w14:textId="6D31122B" w:rsidR="001F1C85" w:rsidRPr="001F1C85" w:rsidRDefault="001F1C85" w:rsidP="001F1C85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C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διάλυσης της σύμβασης για το έργο: «ΒΕΛΤΙΩΣΗ ΑΣΦΑΛΕΙΑΣ ΟΔΙΚΟΥ ΔΙΚΤΥΟΥ</w:t>
            </w:r>
          </w:p>
          <w:p w14:paraId="78460D83" w14:textId="77777777" w:rsidR="001F1C85" w:rsidRPr="001F1C85" w:rsidRDefault="001F1C85" w:rsidP="001F1C85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C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ΑΡΜΟΔΙΟΤΗΤΑΣ ΠΕΡΙΦΕΡΕΙΑΣ ΠΕΛΟΠΟΝΝΗΣΟΥ», ΥΠΟΕΡΓΟ 5: «ΒΕΛΤΙΩΣΗ ΙΣΟΠΕΔΟΥ ΚΟΜΒΟΥ</w:t>
            </w:r>
          </w:p>
          <w:p w14:paraId="09BFFE8A" w14:textId="32814C7B" w:rsidR="004227F5" w:rsidRDefault="001F1C85" w:rsidP="001F1C85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1C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ΜΥΚΗΝΩΝ», Π/Υ: 2.555.000,00 €</w:t>
            </w:r>
          </w:p>
        </w:tc>
      </w:tr>
      <w:tr w:rsidR="00BE5D9C" w14:paraId="45A55810" w14:textId="77777777" w:rsidTr="003274DF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57A1AA" w14:textId="77777777" w:rsidR="00BE5D9C" w:rsidRDefault="00BE5D9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E1A1D8" w14:textId="438E2244" w:rsidR="00BE5D9C" w:rsidRPr="00A8237E" w:rsidRDefault="0009623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962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ΤΜΗΜΑ ΠΡΟΜΗΘΕΙΩΝ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0A9FF4" w14:textId="047B0178" w:rsidR="00BE5D9C" w:rsidRDefault="0009623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94523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A72E3B" w14:textId="6E9CC63A" w:rsidR="00BE5D9C" w:rsidRDefault="00BE5D9C" w:rsidP="00BE5D9C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των όρων της 3ης Πρόσκλησης για την υποβολή προσφορών στο πλαίσιο της </w:t>
            </w:r>
            <w:proofErr w:type="spellStart"/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>683/2023/28-6-2023 (ΑΔΑΜ: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>23PROC012970736) διακήρυξης ΔΣΑ για την ανάθεση ενός (1) νέου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>δρομολογίου μεταφοράς μαθητών Δευτεροβάθμιας Εκπαίδευσης χωρικής αρμοδιότητας ΠΕ Αργολίδας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5D9C">
              <w:rPr>
                <w:rFonts w:asciiTheme="minorHAnsi" w:hAnsiTheme="minorHAnsi" w:cstheme="minorHAnsi"/>
                <w:bCs/>
                <w:sz w:val="22"/>
                <w:szCs w:val="22"/>
              </w:rPr>
              <w:t>σχ. έτους 2023-2024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46802" w14:paraId="69DFC45B" w14:textId="77777777" w:rsidTr="003274DF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C5D1C6A" w14:textId="77777777" w:rsidR="00E46802" w:rsidRDefault="00E46802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17ED24" w14:textId="7C2D5CF0" w:rsidR="00E46802" w:rsidRPr="00E46802" w:rsidRDefault="00E46802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ΑΡΓΟΛΙΔΑΣ </w:t>
            </w:r>
            <w:r w:rsidR="005E36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ΓΡΑΦΕΙΟ ΝΟΜΙΚΗΣ ΥΠΗΡΕΣΙΑΣ 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FF167CD" w14:textId="7AF4A8B3" w:rsidR="00E46802" w:rsidRPr="00E46802" w:rsidRDefault="00E46802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95034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2808A1" w14:textId="55D654DE" w:rsidR="00E46802" w:rsidRPr="00B27C41" w:rsidRDefault="00B27C41" w:rsidP="005027CC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="00E46802" w:rsidRPr="00E46802">
              <w:rPr>
                <w:rFonts w:asciiTheme="minorHAnsi" w:hAnsiTheme="minorHAnsi" w:cstheme="minorHAnsi"/>
                <w:bCs/>
                <w:sz w:val="22"/>
                <w:szCs w:val="22"/>
              </w:rPr>
              <w:t>ρισμό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E46802" w:rsidRPr="00E468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Συμβολαιογράφο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>προκειμένου να συντάξει το</w:t>
            </w:r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σχέδιο συμβολαίου το οποίο θα υποβληθεί στον </w:t>
            </w:r>
            <w:proofErr w:type="spellStart"/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>προσυμβατικό</w:t>
            </w:r>
            <w:proofErr w:type="spellEnd"/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έλεγχο και εν συνεχεία το οριστικό </w:t>
            </w:r>
            <w:proofErr w:type="spellStart"/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>αγοραπωλητήριο</w:t>
            </w:r>
            <w:proofErr w:type="spellEnd"/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συμβόλαιο</w:t>
            </w:r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>μεταξύ του Αγροτικού Συνεταιρισμού «ΕΝΩΣΗ ΑΓΡΟΤΩΝ</w:t>
            </w:r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>ΣΥΝΕΤΑΙΡΩΝ ΑΡΓΟΛΙΔΑΣ – ΡΕΑ» και της Περιφέρειας</w:t>
            </w:r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7CC" w:rsidRPr="005027CC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</w:t>
            </w:r>
            <w:r w:rsidR="005027C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41E2A" w:rsidRPr="009A7784" w14:paraId="6C8851EB" w14:textId="77777777" w:rsidTr="003274DF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B50D70" w14:textId="77777777" w:rsidR="00141E2A" w:rsidRDefault="00141E2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6D1796D" w14:textId="4424947B" w:rsidR="00141E2A" w:rsidRPr="00A8237E" w:rsidRDefault="00EE5B7B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ΓΡΑΦΕΙΟ ΝΟΜΙΚΗΣ ΥΠΗΡΕΣΙΑΣ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2C0843" w14:textId="48070FE4" w:rsidR="00141E2A" w:rsidRDefault="00EE5B7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95039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45DEFD" w14:textId="41571BAC" w:rsidR="00141E2A" w:rsidRDefault="00141E2A" w:rsidP="00141E2A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E2A">
              <w:rPr>
                <w:rFonts w:asciiTheme="minorHAnsi" w:hAnsiTheme="minorHAnsi" w:cstheme="minorHAnsi"/>
                <w:bCs/>
                <w:sz w:val="22"/>
                <w:szCs w:val="22"/>
              </w:rPr>
              <w:t>Επικαιροποίηση της με αριθμό 38/2023 (ΑΔΑ Ψ0217λ1-ΟΨΗ)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41E2A">
              <w:rPr>
                <w:rFonts w:asciiTheme="minorHAnsi" w:hAnsiTheme="minorHAnsi" w:cstheme="minorHAnsi"/>
                <w:bCs/>
                <w:sz w:val="22"/>
                <w:szCs w:val="22"/>
              </w:rPr>
              <w:t>απόφασης της Οικονομικής Επιτροπής περί ορισμού δικηγόρου για τη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41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δικαστική εκπροσώπηση της Περιφέρειας Πελοποννήσου ενώπιον του </w:t>
            </w:r>
            <w:proofErr w:type="spellStart"/>
            <w:r w:rsidRPr="00141E2A">
              <w:rPr>
                <w:rFonts w:asciiTheme="minorHAnsi" w:hAnsiTheme="minorHAnsi" w:cstheme="minorHAnsi"/>
                <w:bCs/>
                <w:sz w:val="22"/>
                <w:szCs w:val="22"/>
              </w:rPr>
              <w:t>ΣτΕ</w:t>
            </w:r>
            <w:proofErr w:type="spellEnd"/>
            <w:r w:rsidR="00EE5B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41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κατά τη συζήτηση αίτησης ακύρωσης του Δήμου Τρίπολης κατά </w:t>
            </w:r>
            <w:r w:rsidR="00EE5B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141E2A">
              <w:rPr>
                <w:rFonts w:asciiTheme="minorHAnsi" w:hAnsiTheme="minorHAnsi" w:cstheme="minorHAnsi"/>
                <w:bCs/>
                <w:sz w:val="22"/>
                <w:szCs w:val="22"/>
              </w:rPr>
              <w:t>Περιφέρειας Πελοποννήσου</w:t>
            </w:r>
            <w:r w:rsidR="00EE5B7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92" w14:textId="77777777" w:rsidTr="003274DF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4D653369" w:rsidR="004227F5" w:rsidRPr="00183DB5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  <w:r w:rsidR="00183DB5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</w:t>
            </w:r>
            <w:r w:rsidR="003E74B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183DB5" w:rsidRPr="00183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  <w:p w14:paraId="09BFFE8F" w14:textId="77777777" w:rsidR="004227F5" w:rsidRDefault="004227F5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0A52FBAD" w:rsidR="004227F5" w:rsidRDefault="00183DB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87416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A5D039" w14:textId="513C38EC" w:rsidR="00770B93" w:rsidRPr="00770B93" w:rsidRDefault="00183DB5" w:rsidP="00770B9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  <w:r w:rsidR="00770B9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770B93"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από 20-12-2023 πρακτικού καταλληλότητας της επιτροπής της παρ. 4 άρθ. 13 Π.Δ. 242/96, που αφορά σε προσφερόμενο ακίνητο για τη στέγαση της Δ/</w:t>
            </w:r>
            <w:proofErr w:type="spellStart"/>
            <w:r w:rsidR="00770B93"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>νσης</w:t>
            </w:r>
            <w:proofErr w:type="spellEnd"/>
            <w:r w:rsidR="00770B93"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Πρωτοβάθμιας Εκπαίδευσης Ν. Κορινθίας, σύμφωνα με την υπ’ αριθμ. </w:t>
            </w:r>
            <w:proofErr w:type="spellStart"/>
            <w:r w:rsidR="00770B93"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>πρωτ</w:t>
            </w:r>
            <w:proofErr w:type="spellEnd"/>
            <w:r w:rsidR="00770B93"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>. 394036/13-11-20123 διακήρυξη μίσθωσης ακινήτων.</w:t>
            </w:r>
          </w:p>
          <w:p w14:paraId="09BFFE91" w14:textId="5EE0E6F9" w:rsidR="004227F5" w:rsidRDefault="00770B93" w:rsidP="00770B93">
            <w:pPr>
              <w:pStyle w:val="Web"/>
              <w:spacing w:before="2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β) Ορισμός ημερομηνίας και τόπου διενέργειας δημοπρασίας (μειοδοτική φανερή και προφορική) για τη μίσθωση ακινήτου για τη </w:t>
            </w:r>
            <w:r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στέγαση της Δ/</w:t>
            </w:r>
            <w:proofErr w:type="spellStart"/>
            <w:r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>νσης</w:t>
            </w:r>
            <w:proofErr w:type="spellEnd"/>
            <w:r w:rsidRPr="00770B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Πρωτοβάθμιας Εκπαίδευσης Ν. Κορινθίας.</w:t>
            </w:r>
          </w:p>
        </w:tc>
      </w:tr>
      <w:tr w:rsidR="0003394A" w14:paraId="16B556DC" w14:textId="77777777" w:rsidTr="003274DF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AFB3F9" w14:textId="77777777" w:rsidR="0003394A" w:rsidRDefault="0003394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998157F" w14:textId="0C2E80A4" w:rsidR="0003394A" w:rsidRPr="001F03E4" w:rsidRDefault="001F03E4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52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ΚΟΡΙΝΘΙΑΣ </w:t>
            </w:r>
            <w:r w:rsidR="00E5273A" w:rsidRPr="00E52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7D9242" w14:textId="19BC1C3F" w:rsidR="0003394A" w:rsidRPr="00E5273A" w:rsidRDefault="0003394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5273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93</w:t>
            </w:r>
            <w:r w:rsidR="001F03E4" w:rsidRPr="00E5273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206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60E81B" w14:textId="1E7F7105" w:rsidR="0003394A" w:rsidRPr="00E5273A" w:rsidRDefault="00E5273A" w:rsidP="00E5273A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1ης τροποποίησης της προγραμματικής σύμβασης μεταξύ των Ο.Τ.Α. Β’ βαθμού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«Περιφέρεια Πελοποννήσου», «Περιφερειακού Ταμείου Ανάπτυξης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Πελοποννήσου» &amp; του Αναπτυξιακού Οργανισμού «</w:t>
            </w:r>
            <w:proofErr w:type="spellStart"/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Μοριάς</w:t>
            </w:r>
            <w:proofErr w:type="spellEnd"/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Ανώνυμη Εταιρεία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Αναπτυξιακός Οργανισμός Τοπικής Αυτοδιοίκησης», ως προς την χρονική διάρκεια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άρθρου 5 και ως προς τα μέλη των επιτροπών παρακολούθησης άρθρο 6 και 7, βάση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άρθρου 100 του Ν.3852/2010 και όπως έχει τροποποιηθεί και ισχύει σήμερα, για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υλοποίηση της πράξης με τίτλο: ««ΤΕΧΝΙΚΗ ΥΠΟΣΤΗΡΙΞΗ ΤΗΣ Δ.Τ.Ε. Π.Ε. ΚΟΡΙΝΘΙΑΣ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ΓΙΑ ΤΗ ΣΥΝΤΑΞΗ ΑΝΤΙΠΛΗΜΜΥΡΙΚΩΝ ΚΑΙ ΣΥΓΚΟΙΝΩΝΙΑΚΩΝ ΜΕΛΕΤΩΝ»»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73A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655.833,02 € συμπεριλαμβανομένου του Φ.Π.Α.</w:t>
            </w:r>
          </w:p>
        </w:tc>
      </w:tr>
      <w:tr w:rsidR="004227F5" w14:paraId="09BFFE97" w14:textId="77777777" w:rsidTr="003274DF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3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4" w14:textId="6C151E6F" w:rsidR="00A64D47" w:rsidRPr="001F75E0" w:rsidRDefault="009067C9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  <w:r w:rsidR="00A64D47">
              <w:t xml:space="preserve">        </w:t>
            </w:r>
            <w:r w:rsidR="001F75E0" w:rsidRPr="001F75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5" w14:textId="6B5080B5" w:rsidR="004227F5" w:rsidRPr="001F75E0" w:rsidRDefault="001F75E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94640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6" w14:textId="3D70A303" w:rsidR="004227F5" w:rsidRPr="001F75E0" w:rsidRDefault="000E0C27" w:rsidP="000E0C27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από 12/03/2024 Πρακτικού της Επιτροπής καταστροφής, απόσυρσης, εκποίησης κινητών πραγμάτων και λοιπού εξοπλισμού (πλην ειδών</w:t>
            </w:r>
            <w:r w:rsidR="001F75E0"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>πληροφορικής) Π.Ε. Λακωνίας, περί καταστροφής/απόσυρσης κενών μεταλλικών</w:t>
            </w:r>
            <w:r w:rsidR="001F75E0"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>βαρελιών που χρησιμοποιήθηκαν στο πρόγραμμα δακοκτονίας έτους 2023 της Π.Ε.</w:t>
            </w:r>
            <w:r w:rsidR="001F75E0"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75E0">
              <w:rPr>
                <w:rFonts w:asciiTheme="minorHAnsi" w:hAnsiTheme="minorHAnsi" w:cstheme="minorHAnsi"/>
                <w:bCs/>
                <w:sz w:val="22"/>
                <w:szCs w:val="22"/>
              </w:rPr>
              <w:t>Λακωνίας.</w:t>
            </w:r>
          </w:p>
        </w:tc>
      </w:tr>
      <w:tr w:rsidR="007870AA" w14:paraId="7B714DB5" w14:textId="77777777" w:rsidTr="003274DF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53AC1B5" w14:textId="77777777" w:rsidR="007870AA" w:rsidRDefault="007870A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25FF5E" w14:textId="5CD03564" w:rsidR="007870AA" w:rsidRPr="00A8237E" w:rsidRDefault="00E9099F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90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        ΤΜΗΜΑ ΠΡΟΜΗΘΕΙΩΝ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C27EFB" w14:textId="175F5FAB" w:rsidR="007870AA" w:rsidRDefault="00E9099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94895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8E481C" w14:textId="08B43D90" w:rsidR="007870AA" w:rsidRDefault="00E9099F" w:rsidP="00E9099F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τροποποίησης των υπ’ αριθμ. 103, 104, 105, 109 και 128 / 2023 συμβάσεων παροχής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υπηρεσιών μεταφοράς μαθητών </w:t>
            </w:r>
            <w:proofErr w:type="spellStart"/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Α΄θμιας</w:t>
            </w:r>
            <w:proofErr w:type="spellEnd"/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Β΄θμιας</w:t>
            </w:r>
            <w:proofErr w:type="spellEnd"/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Εκπαίδευσης χωρικής αρμοδιότητας Π.Ε. Λακωνίας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09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το σχολικό έτος 2023-24.</w:t>
            </w:r>
          </w:p>
        </w:tc>
      </w:tr>
      <w:tr w:rsidR="004227F5" w14:paraId="09BFFE9D" w14:textId="77777777" w:rsidTr="003274DF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013D7007" w:rsidR="00A8237E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  <w:r w:rsidR="00D26E37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</w:t>
            </w:r>
            <w:r w:rsidR="001F75E0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D26E37" w:rsidRPr="00D26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ΑΝΑΠΤΥΞΙΑΚΟΥ ΠΡΟΓΡΑΜΜΑΤΙΣΜΟΥ ΓΡΑΦΕΙΟ ΑΝΤΙΠΕΡΙΦΕΡΕΙΑΡΧΗ</w:t>
            </w:r>
          </w:p>
          <w:p w14:paraId="09BFFE9A" w14:textId="109D67AA" w:rsidR="004227F5" w:rsidRPr="00A8237E" w:rsidRDefault="004227F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42862268" w:rsidR="004227F5" w:rsidRDefault="00D26E3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91260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2BC183C1" w:rsidR="004227F5" w:rsidRDefault="00D26E37" w:rsidP="00D26E37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D26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γκριση 1ης τροποποίησης τεχνικού προγράμματος Ιδίων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26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Πόρων Π.Ε. Μεσσηνίας έτους 2024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67914" w14:paraId="7613ACBF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66CD02" w14:textId="77777777" w:rsidR="00067914" w:rsidRDefault="0006791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397EC" w14:textId="2CFF7F01" w:rsidR="00067914" w:rsidRPr="00A8237E" w:rsidRDefault="00067914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6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</w:t>
            </w:r>
            <w:r w:rsidR="001F75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6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ΑΝΑΠΤΥΞΙΑΚΟΥ ΠΡΟΓΡΑΜΜΑΤΙΣΜΟΥ ΓΡΑΦΕΙΟ ΑΝΤΙΠΕΡΙΦΕΡΕΙΑΡΧΗ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F781C8A" w14:textId="68B043DE" w:rsidR="00067914" w:rsidRDefault="0006791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91266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EBB1E0" w14:textId="1572B4E2" w:rsidR="00067914" w:rsidRDefault="00DC67BF" w:rsidP="00DC67B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D26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γκριση</w:t>
            </w:r>
            <w:r w:rsidRPr="00DC67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1ης τροποποίησης τεχνικού προγράμματος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C67BF">
              <w:rPr>
                <w:rFonts w:asciiTheme="minorHAnsi" w:hAnsiTheme="minorHAnsi" w:cstheme="minorHAnsi"/>
                <w:bCs/>
                <w:sz w:val="22"/>
                <w:szCs w:val="22"/>
              </w:rPr>
              <w:t>Κ.Α.Π. Π.Ε. Μεσσηνίας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0136F" w14:paraId="44DE600D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8088B9" w14:textId="77777777" w:rsidR="00D0136F" w:rsidRDefault="00D013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80A0BC2" w14:textId="6DD911DA" w:rsidR="00D0136F" w:rsidRPr="00A8237E" w:rsidRDefault="00D0136F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  ΓΡΑΦΕΙΟ ΝΟΜΙΚΗΣ ΥΠΗΡΕΣΙΑΣ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71D032" w14:textId="0CF61B1E" w:rsidR="00D0136F" w:rsidRDefault="00D013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91792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4CC2EA" w14:textId="6CD6F7A7" w:rsidR="00D0136F" w:rsidRDefault="0077580E" w:rsidP="0077580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="00D0136F" w:rsidRPr="00D013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για την άσκηση ή μη ενδίκων μέσων κατά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77580E">
              <w:rPr>
                <w:rFonts w:asciiTheme="minorHAnsi" w:hAnsiTheme="minorHAnsi" w:cstheme="minorHAnsi"/>
                <w:bCs/>
                <w:sz w:val="22"/>
                <w:szCs w:val="22"/>
              </w:rPr>
              <w:t>υπ’αριθμ.Α419/2023 απόφαση του Μονομελούς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7580E">
              <w:rPr>
                <w:rFonts w:asciiTheme="minorHAnsi" w:hAnsiTheme="minorHAnsi" w:cstheme="minorHAnsi"/>
                <w:bCs/>
                <w:sz w:val="22"/>
                <w:szCs w:val="22"/>
              </w:rPr>
              <w:t>Διοικητικού Πρωτοδικείου Καλαμάτας</w:t>
            </w:r>
            <w:r w:rsidR="00B47F3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33ED4" w14:paraId="36F58096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70B340" w14:textId="77777777" w:rsidR="00633ED4" w:rsidRDefault="00633ED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995060" w14:textId="0E1FFB78" w:rsidR="00633ED4" w:rsidRPr="00A8237E" w:rsidRDefault="0006603C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  ΓΡΑΦΕΙΟ ΝΟΜΙΚΗΣ ΥΠΗΡΕΣΙΑΣ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AD6091" w14:textId="70FD8C98" w:rsidR="00633ED4" w:rsidRDefault="0006603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91989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5E97E2" w14:textId="799AD67A" w:rsidR="00633ED4" w:rsidRDefault="00633ED4" w:rsidP="00633ED4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</w:t>
            </w:r>
            <w:r w:rsidRPr="00633E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</w:t>
            </w:r>
            <w:r w:rsidR="00366EF8">
              <w:rPr>
                <w:rFonts w:asciiTheme="minorHAnsi" w:hAnsiTheme="minorHAnsi" w:cstheme="minorHAnsi"/>
                <w:bCs/>
                <w:sz w:val="22"/>
                <w:szCs w:val="22"/>
              </w:rPr>
              <w:t>γ</w:t>
            </w:r>
            <w:r w:rsidRPr="00633ED4">
              <w:rPr>
                <w:rFonts w:asciiTheme="minorHAnsi" w:hAnsiTheme="minorHAnsi" w:cstheme="minorHAnsi"/>
                <w:bCs/>
                <w:sz w:val="22"/>
                <w:szCs w:val="22"/>
              </w:rPr>
              <w:t>ια την δικαστική εκπροσώπηση της Περιφέρειας Πελοποννήσου (Π.Ε.</w:t>
            </w:r>
            <w:r w:rsidR="00366E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33ED4">
              <w:rPr>
                <w:rFonts w:asciiTheme="minorHAnsi" w:hAnsiTheme="minorHAnsi" w:cstheme="minorHAnsi"/>
                <w:bCs/>
                <w:sz w:val="22"/>
                <w:szCs w:val="22"/>
              </w:rPr>
              <w:t>Μεσσηνίας) στο Τριμελές Διοικητικό Πρωτοδικείο Καλαμάτας στις 10-4-2024 κατά τη συζήτηση της</w:t>
            </w:r>
            <w:r w:rsidR="0006603C" w:rsidRPr="000660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με αρ.κατ.ΠΡ72/17-5-2023 </w:t>
            </w:r>
            <w:r w:rsidRPr="00633ED4">
              <w:rPr>
                <w:rFonts w:asciiTheme="minorHAnsi" w:hAnsiTheme="minorHAnsi" w:cstheme="minorHAnsi"/>
                <w:bCs/>
                <w:sz w:val="22"/>
                <w:szCs w:val="22"/>
              </w:rPr>
              <w:t>προσφυγής και σε κάθε μετ</w:t>
            </w:r>
            <w:r w:rsidR="00366E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633ED4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</w:t>
            </w:r>
            <w:r w:rsidR="00366E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33ED4">
              <w:rPr>
                <w:rFonts w:asciiTheme="minorHAnsi" w:hAnsiTheme="minorHAnsi" w:cstheme="minorHAnsi"/>
                <w:bCs/>
                <w:sz w:val="22"/>
                <w:szCs w:val="22"/>
              </w:rPr>
              <w:t>αυτής δικάσιμο</w:t>
            </w:r>
            <w:r w:rsidR="00991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991BDB" w:rsidRPr="00991BDB">
              <w:rPr>
                <w:rFonts w:asciiTheme="minorHAnsi" w:hAnsiTheme="minorHAnsi" w:cstheme="minorHAnsi"/>
                <w:bCs/>
                <w:sz w:val="22"/>
                <w:szCs w:val="22"/>
              </w:rPr>
              <w:t>καθώς και την έγκριση της αμοιβής του</w:t>
            </w:r>
            <w:r w:rsidR="00991BD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976CF" w14:paraId="0F57EF6F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318C91" w14:textId="77777777" w:rsidR="006976CF" w:rsidRDefault="006976C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7EA7CCD" w14:textId="70C36D58" w:rsidR="006976CF" w:rsidRPr="00A8237E" w:rsidRDefault="00837104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  ΓΡΑΦΕΙΟ ΝΟΜΙΚΗΣ ΥΠΗΡΕΣΙΑΣ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C2B46B" w14:textId="77777777" w:rsidR="006976CF" w:rsidRDefault="006976C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902E96" w14:textId="24AC432A" w:rsidR="006976CF" w:rsidRDefault="006976CF" w:rsidP="00264C5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6976CF">
              <w:rPr>
                <w:rFonts w:asciiTheme="minorHAnsi" w:hAnsiTheme="minorHAnsi" w:cstheme="minorHAnsi"/>
                <w:bCs/>
                <w:sz w:val="22"/>
                <w:szCs w:val="22"/>
              </w:rPr>
              <w:t>ρισμ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Pr="006976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για την δικαστική εκπροσώπηση της Περιφέρειας Πελοποννήσου (Π.Ε. Μεσσηνίας) στο Τριμελές Διοικητικό Πρωτοδικείο Καλαμάτας στις 10-4-2024 κατά τη συζήτηση της αγωγής </w:t>
            </w:r>
            <w:r w:rsidR="007130D9" w:rsidRPr="007130D9">
              <w:rPr>
                <w:rFonts w:asciiTheme="minorHAnsi" w:hAnsiTheme="minorHAnsi" w:cstheme="minorHAnsi"/>
                <w:bCs/>
                <w:sz w:val="22"/>
                <w:szCs w:val="22"/>
              </w:rPr>
              <w:t>της ΄΄XORIZON ANΩΝΥΜΗ ΞΕΝΟΔΟΧΕΙΑΚΗ -ΤΟΥΡΙΣΤΙΚΗ-ΤΕΧΝΙΚΗ ΚΑΤΑΣΚΕΥΑΣΤΙΚΗ ΕΤΑΙΡΕΙΑ΄΄</w:t>
            </w:r>
            <w:r w:rsidRPr="006976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 σε κάθε μετ</w:t>
            </w:r>
            <w:r w:rsidR="00FD16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6976CF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  αυτής δικάσιμο</w:t>
            </w:r>
            <w:r w:rsidR="00FD16C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90628" w14:paraId="71990266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8DA2B9" w14:textId="77777777" w:rsidR="00090628" w:rsidRDefault="000906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A84BA0" w14:textId="71E8B7BD" w:rsidR="00090628" w:rsidRPr="00E13ED7" w:rsidRDefault="00E13ED7" w:rsidP="00E13ED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E13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 </w:t>
            </w:r>
            <w:r w:rsidRPr="00E13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ΔΙΟΙΚΗΤΙΚΟΥ -ΟΙΚΟΝΟΜΙΚΟΥ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C6A30B7" w14:textId="2A91BEEA" w:rsidR="00090628" w:rsidRDefault="000906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94805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DB8C10" w14:textId="4122B7F8" w:rsidR="00090628" w:rsidRDefault="00090628" w:rsidP="009E6E4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090628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κατ</w:t>
            </w:r>
            <w:r w:rsidR="009E6E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090628">
              <w:rPr>
                <w:rFonts w:asciiTheme="minorHAnsi" w:hAnsiTheme="minorHAnsi" w:cstheme="minorHAnsi"/>
                <w:bCs/>
                <w:sz w:val="22"/>
                <w:szCs w:val="22"/>
              </w:rPr>
              <w:t>εξαίρεση οδήγησης υπηρεσιακών αυτοκινήτων</w:t>
            </w:r>
            <w:r w:rsidR="009E6E41">
              <w:t xml:space="preserve"> </w:t>
            </w:r>
            <w:r w:rsidR="009E6E41" w:rsidRPr="009E6E41">
              <w:rPr>
                <w:rFonts w:asciiTheme="minorHAnsi" w:hAnsiTheme="minorHAnsi" w:cstheme="minorHAnsi"/>
                <w:bCs/>
                <w:sz w:val="22"/>
                <w:szCs w:val="22"/>
              </w:rPr>
              <w:t>της Περιφέρειας Πελοποννήσου,</w:t>
            </w:r>
            <w:r w:rsidR="009E6E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E6E41" w:rsidRPr="009E6E41">
              <w:rPr>
                <w:rFonts w:asciiTheme="minorHAnsi" w:hAnsiTheme="minorHAnsi" w:cstheme="minorHAnsi"/>
                <w:bCs/>
                <w:sz w:val="22"/>
                <w:szCs w:val="22"/>
              </w:rPr>
              <w:t>Π.Ε. Μεσσηνίας, για την αντιμετώπιση υπηρεσιακών αναγκών</w:t>
            </w:r>
            <w:r w:rsidR="009E6E4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40D29" w14:paraId="4C50AD1B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6620D7" w14:textId="77777777" w:rsidR="00840D29" w:rsidRDefault="00840D2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06CC78" w14:textId="06D273D8" w:rsidR="00840D29" w:rsidRPr="00A8237E" w:rsidRDefault="00852856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DEF4CF" w14:textId="3B0BA7E0" w:rsidR="00840D29" w:rsidRDefault="00840D2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96032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625B2E" w14:textId="6E31544F" w:rsidR="00840D29" w:rsidRDefault="00661F58" w:rsidP="00661F5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1F5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 w:rsidR="00CB20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61F58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και Δήμου Τριφυλίας, για την υλοποίηση της πράξης: «ΠΡΟΜΗΘΕΙΑ</w:t>
            </w:r>
            <w:r w:rsidR="00CB20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61F58">
              <w:rPr>
                <w:rFonts w:asciiTheme="minorHAnsi" w:hAnsiTheme="minorHAnsi" w:cstheme="minorHAnsi"/>
                <w:bCs/>
                <w:sz w:val="22"/>
                <w:szCs w:val="22"/>
              </w:rPr>
              <w:t>ΚΑΙ ΕΓΚΑΤΑΣΤΑΣΗ ΗΛΕΚΤΡΟΦΩΤΙΣΜΟΥ ΓΗΠΕΔΟΥ ΚΟΠΑΝΑΚΙΟΥ», ως προς την</w:t>
            </w:r>
            <w:r w:rsidR="00CB20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61F58">
              <w:rPr>
                <w:rFonts w:asciiTheme="minorHAnsi" w:hAnsiTheme="minorHAnsi" w:cstheme="minorHAnsi"/>
                <w:bCs/>
                <w:sz w:val="22"/>
                <w:szCs w:val="22"/>
              </w:rPr>
              <w:t>αντικατάσταση μελών της κοινής επιτροπής παρακολούθησης (άρθρο 7), μετά την</w:t>
            </w:r>
            <w:r w:rsidR="00CB20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61F58">
              <w:rPr>
                <w:rFonts w:asciiTheme="minorHAnsi" w:hAnsiTheme="minorHAnsi" w:cstheme="minorHAnsi"/>
                <w:bCs/>
                <w:sz w:val="22"/>
                <w:szCs w:val="22"/>
              </w:rPr>
              <w:t>αλλαγή στη σύνθεση του Περιφερειακού Συμβουλίου.</w:t>
            </w:r>
          </w:p>
        </w:tc>
      </w:tr>
      <w:tr w:rsidR="009517C3" w14:paraId="4A5B7E9B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07B4E3" w14:textId="77777777" w:rsidR="009517C3" w:rsidRDefault="009517C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0B3278D" w14:textId="4DB4B4A9" w:rsidR="009517C3" w:rsidRPr="00A8237E" w:rsidRDefault="009517C3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014A2E" w14:textId="686CDA2A" w:rsidR="009517C3" w:rsidRDefault="009517C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95972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878739" w14:textId="03E91C42" w:rsidR="009517C3" w:rsidRDefault="009517C3" w:rsidP="009517C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7C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17C3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και Δήμου Τριφυλίας, για την υλοποίηση της πράξης: «ΑΝΑΚΑΙΝΙΣΗ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17C3">
              <w:rPr>
                <w:rFonts w:asciiTheme="minorHAnsi" w:hAnsiTheme="minorHAnsi" w:cstheme="minorHAnsi"/>
                <w:bCs/>
                <w:sz w:val="22"/>
                <w:szCs w:val="22"/>
              </w:rPr>
              <w:t>ΑΠΟΔΥΤΗΡΙΩΝ ΚΛΕΙΣΤΟΥ ΓΥΜΝΑΣΤΗΡΙΟΥ ΓΑΡΓΑΛΙΑΝΩΝ», ως προς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17C3">
              <w:rPr>
                <w:rFonts w:asciiTheme="minorHAnsi" w:hAnsiTheme="minorHAnsi" w:cstheme="minorHAnsi"/>
                <w:bCs/>
                <w:sz w:val="22"/>
                <w:szCs w:val="22"/>
              </w:rPr>
              <w:t>αντικατάσταση μελών της κοινής επιτροπής παρακολούθησης (άρθρο 7), μετά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17C3">
              <w:rPr>
                <w:rFonts w:asciiTheme="minorHAnsi" w:hAnsiTheme="minorHAnsi" w:cstheme="minorHAnsi"/>
                <w:bCs/>
                <w:sz w:val="22"/>
                <w:szCs w:val="22"/>
              </w:rPr>
              <w:t>αλλαγή στη σύνθεση του Περιφερειακού Συμβουλίου.</w:t>
            </w:r>
          </w:p>
        </w:tc>
      </w:tr>
      <w:tr w:rsidR="008E3EEF" w14:paraId="779B3648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8C06812" w14:textId="77777777" w:rsidR="008E3EEF" w:rsidRDefault="008E3EE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8651DFB" w14:textId="7BA4479B" w:rsidR="008E3EEF" w:rsidRPr="00A8237E" w:rsidRDefault="008E3EEF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01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3BFCCD" w14:textId="17B4221F" w:rsidR="008E3EEF" w:rsidRDefault="008E3EE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96075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5E1D6A" w14:textId="68D661DD" w:rsidR="008E3EEF" w:rsidRDefault="008E3EEF" w:rsidP="008E3EE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 πολιτισμικής ανάπτυξης,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>μεταξύ Υπ. Πολιτισμού, Περιφέρειας Πελοποννήσου, Περιφερειακού Ταμείου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>Ανάπτυξης Περιφέρειας Πελοποννήσου και Ιεράς Μητρόπολης Τριφυλίας &amp; Ολυμπίας,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υλοποίηση της πράξης: «ΑΝΑΠΛΑΣΗ ΠΡΟΑΥΛΕΙΟΥ ΧΩΡΟΥ ΣΤΟΝ ΙΕΡΟ ΝΑΟ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ΑΓ. ΣΩΤΗΡΟΣ (ΜΕΤΑΜΟΡΦΩΣΕΩΣ) Τ.Κ. ΧΡΙΣΤΙΑΝΩΝ ΔΗΜΟΥ ΤΡΙΦΥΛΙΑΣ», ως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προς </w:t>
            </w: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>την αντικατάσταση μελών της κοινής επιτροπής παρακολούθησης (άρθρο 7), μετά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3EEF">
              <w:rPr>
                <w:rFonts w:asciiTheme="minorHAnsi" w:hAnsiTheme="minorHAnsi" w:cstheme="minorHAnsi"/>
                <w:bCs/>
                <w:sz w:val="22"/>
                <w:szCs w:val="22"/>
              </w:rPr>
              <w:t>την αλλαγή στη σύνθεση του Περιφερειακού Συμβουλίου.</w:t>
            </w:r>
          </w:p>
        </w:tc>
      </w:tr>
      <w:tr w:rsidR="004227F5" w14:paraId="09BFFEC7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5CE6FAC8" w:rsidR="004227F5" w:rsidRPr="00A8237E" w:rsidRDefault="009067C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 w:rsid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</w:t>
            </w:r>
            <w:r w:rsidR="00C4008D" w:rsidRPr="00860BDE">
              <w:rPr>
                <w:rFonts w:asciiTheme="minorHAnsi" w:hAnsiTheme="minorHAnsi" w:cstheme="minorHAnsi"/>
                <w:b/>
                <w:sz w:val="22"/>
                <w:szCs w:val="22"/>
              </w:rPr>
              <w:t>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7224B82D" w:rsidR="004227F5" w:rsidRDefault="00860BD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90021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051B12C8" w:rsidR="00860BDE" w:rsidRPr="00C4008D" w:rsidRDefault="00860BDE" w:rsidP="00264C5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="00264C57" w:rsidRPr="00264C57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του 1ου Ανακεφαλαιωτικού Πίνακα, της 1ης Συμπληρωματικής Σύμβασης,</w:t>
            </w:r>
            <w:r w:rsidR="00027A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C57" w:rsidRPr="00264C57">
              <w:rPr>
                <w:rFonts w:asciiTheme="minorHAnsi" w:hAnsiTheme="minorHAnsi" w:cstheme="minorHAnsi"/>
                <w:bCs/>
                <w:sz w:val="22"/>
                <w:szCs w:val="22"/>
              </w:rPr>
              <w:t>και του 1</w:t>
            </w:r>
            <w:r w:rsidR="00264C57" w:rsidRPr="00860BDE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C57" w:rsidRPr="00264C57">
              <w:rPr>
                <w:rFonts w:asciiTheme="minorHAnsi" w:hAnsiTheme="minorHAnsi" w:cstheme="minorHAnsi"/>
                <w:bCs/>
                <w:sz w:val="22"/>
                <w:szCs w:val="22"/>
              </w:rPr>
              <w:t>Π.Κ.Τ.Μ.Ν.Ε του έργου: “ΟΡΙΣΤΙΚΗ ΑΠΟΚΑΤΑΣΤΑΣΗ ΤΗΣ ΒΑΤΟΤΗΤΑΣ ΤΗΣ ΔΗΜΟΤΙΚΗΣ ΟΔΟΥ ΛΟΓΩ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C57" w:rsidRPr="00264C57">
              <w:rPr>
                <w:rFonts w:asciiTheme="minorHAnsi" w:hAnsiTheme="minorHAnsi" w:cstheme="minorHAnsi"/>
                <w:bCs/>
                <w:sz w:val="22"/>
                <w:szCs w:val="22"/>
              </w:rPr>
              <w:t>ΚΑΤΟΛΙΣΘΗΣΗΣ ΕΝΤΟΣ ΤΟΥ ΟΙΚΙΣΜΟΥ ΤΗΣ ΤΚ ΜΑΚΡΥΣΙΟΥ” Προϋπολογισμού 770.000,00 € 4</w:t>
            </w:r>
            <w:r w:rsidR="00264C57" w:rsidRPr="00860BDE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C57" w:rsidRPr="00264C57">
              <w:rPr>
                <w:rFonts w:asciiTheme="minorHAnsi" w:hAnsiTheme="minorHAnsi" w:cstheme="minorHAnsi"/>
                <w:bCs/>
                <w:sz w:val="22"/>
                <w:szCs w:val="22"/>
              </w:rPr>
              <w:t>ΕΑΠ</w:t>
            </w:r>
          </w:p>
        </w:tc>
      </w:tr>
      <w:tr w:rsidR="002330B4" w14:paraId="21A3B762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8BD6D4" w14:textId="77777777" w:rsidR="002330B4" w:rsidRDefault="002330B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BD6FE3" w14:textId="3A66C021" w:rsidR="002330B4" w:rsidRPr="00A8237E" w:rsidRDefault="002330B4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3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7A2E62" w14:textId="05C9F2CF" w:rsidR="002330B4" w:rsidRDefault="002330B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93594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52340D" w14:textId="4225BA65" w:rsidR="002330B4" w:rsidRPr="00F9515F" w:rsidRDefault="00694C3A" w:rsidP="00694C3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C3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94C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«ΒΕΛΤΙΩΣΗ – ΣΥΝΤΗΡΗΣΗ – ΑΝΑΒΑΘΜΙΣΗ ΑΣΦΑΛΕΙΑΣ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694C3A">
              <w:rPr>
                <w:rFonts w:asciiTheme="minorHAnsi" w:hAnsiTheme="minorHAnsi" w:cstheme="minorHAnsi"/>
                <w:bCs/>
                <w:sz w:val="22"/>
                <w:szCs w:val="22"/>
              </w:rPr>
              <w:t>Ε.Ο. ΛΕΒΙΔΙΟΥ – ΚΑΝΔΗΛΑΣ – ΑΡΧΑΙΑΣ ΝΕΜΕΑΣ»,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94C3A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600.000,00 € από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94C3A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 ΠΔΕ/2020ΕΠ02600009</w:t>
            </w:r>
          </w:p>
        </w:tc>
      </w:tr>
      <w:tr w:rsidR="0067753C" w14:paraId="59B3E3A2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6D90F" w14:textId="77777777" w:rsidR="0067753C" w:rsidRDefault="0067753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71D0EC" w14:textId="016D4DFA" w:rsidR="0067753C" w:rsidRPr="00A8237E" w:rsidRDefault="005C588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3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68913F" w14:textId="47A07332" w:rsidR="0067753C" w:rsidRDefault="0067753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93752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9921D6" w14:textId="77070A9D" w:rsidR="0067753C" w:rsidRPr="00F9515F" w:rsidRDefault="005C5888" w:rsidP="005C58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588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5888">
              <w:rPr>
                <w:rFonts w:asciiTheme="minorHAnsi" w:hAnsiTheme="minorHAnsi" w:cstheme="minorHAnsi"/>
                <w:bCs/>
                <w:sz w:val="22"/>
                <w:szCs w:val="22"/>
              </w:rPr>
              <w:t>«ΟΛΟΚΛΗΡΩΣΗ ΑΝΑΠΛΑΣΗΣ ΛΙΜΝΗΣ ΤΑΚΑ – ΟΔΟΙ ΠΡΟΣΒΑΣΗΣ - ΑΡΔΕΥΣΗΣ»</w:t>
            </w:r>
          </w:p>
        </w:tc>
      </w:tr>
      <w:tr w:rsidR="00AA57C9" w14:paraId="22AA9859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DAEB11" w14:textId="77777777" w:rsidR="00AA57C9" w:rsidRDefault="00AA57C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78CC49" w14:textId="42754FE4" w:rsidR="00AA57C9" w:rsidRPr="00A8237E" w:rsidRDefault="00AD47CD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B2481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ΕΔΡΑ  </w:t>
            </w:r>
            <w:r w:rsidRPr="00AD4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41CF94" w14:textId="3730AB03" w:rsidR="00AA57C9" w:rsidRDefault="00AD47C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93239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C55068" w14:textId="209C8356" w:rsidR="00AA57C9" w:rsidRPr="00F9515F" w:rsidRDefault="000C1274" w:rsidP="000C1274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της Προγραμματικής Σύμβασης μεταξύ της Ιεράς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Μητροπόλεως Γόρτυνος και Μεγαλοπόλεως, της Περιφέρειας Πελοποννήσου,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της Περιφερειακού Ταμείου Ανάπτυξης Περιφέρειας Πελοποννήσου και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Δήμου Μεγαλόπολης για την πράξη «ΑΝΕΓΕΡΣΗ ΜΟΝΑΔΑΣ ΦΡΟΝΤΙΔΑΣ</w:t>
            </w:r>
            <w:r w:rsidR="00AD47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ΗΛΙΚΙΩΜΕΝΩΝ – ΜΗ ΚΕΡΔΟΣΚΟΠΙΚΟΥ ΧΑΡΑΚΤΗΡΑ (ΜΦΗ – ΜΚ) ΣΤΗ</w:t>
            </w:r>
            <w:r w:rsidR="00AD47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ΜΕΓΑΛΟΠΟΛΗ ΑΡΚΑΔΙΑΣ», για την αντικατάσταση εκπροσώπων στην Κοινή</w:t>
            </w:r>
            <w:r w:rsidR="00AD47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1274">
              <w:rPr>
                <w:rFonts w:asciiTheme="minorHAnsi" w:hAnsiTheme="minorHAnsi" w:cstheme="minorHAnsi"/>
                <w:bCs/>
                <w:sz w:val="22"/>
                <w:szCs w:val="22"/>
              </w:rPr>
              <w:t>Επιτροπή Παρακολούθησης.</w:t>
            </w:r>
          </w:p>
        </w:tc>
      </w:tr>
      <w:tr w:rsidR="00AA57C9" w14:paraId="21698904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7699F61" w14:textId="77777777" w:rsidR="00AA57C9" w:rsidRDefault="00AA57C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14318A" w14:textId="3F77D19C" w:rsidR="00AA57C9" w:rsidRPr="00A8237E" w:rsidRDefault="00AD47CD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D4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3BD6B26" w14:textId="2A8F88B9" w:rsidR="00AA57C9" w:rsidRDefault="00EE523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93252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C47FDA" w14:textId="3C67E40F" w:rsidR="00AA57C9" w:rsidRPr="00F9515F" w:rsidRDefault="00EE5239" w:rsidP="00EE523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523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της Προγραμματικής Σύμβασης του άρθρου 100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5239">
              <w:rPr>
                <w:rFonts w:asciiTheme="minorHAnsi" w:hAnsiTheme="minorHAnsi" w:cstheme="minorHAnsi"/>
                <w:bCs/>
                <w:sz w:val="22"/>
                <w:szCs w:val="22"/>
              </w:rPr>
              <w:t>Ν.3852/2010 μεταξύ της «Περιφέρειας Πελοποννήσου», του «Δήμου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5239">
              <w:rPr>
                <w:rFonts w:asciiTheme="minorHAnsi" w:hAnsiTheme="minorHAnsi" w:cstheme="minorHAnsi"/>
                <w:bCs/>
                <w:sz w:val="22"/>
                <w:szCs w:val="22"/>
              </w:rPr>
              <w:t>Τριφυλίας» και του «Περιφερειακού Ταμείου Ανάπτυξης της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5239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Πελοποννήσου», για την υλοποίηση του έργου: «ΔΗΜΙΟΥΡΓΙΑ ΑΘΛΗΤΙΚΟΥ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5239">
              <w:rPr>
                <w:rFonts w:asciiTheme="minorHAnsi" w:hAnsiTheme="minorHAnsi" w:cstheme="minorHAnsi"/>
                <w:bCs/>
                <w:sz w:val="22"/>
                <w:szCs w:val="22"/>
              </w:rPr>
              <w:t>ΚΕΝΤΡΟΥ ΣΤΗΝ ΚΥΠΑΡΙΣΣΙΑ ΜΕΣΣΗΝΙΑΣ», για την αντικατάσταση εκπροσώπων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5239">
              <w:rPr>
                <w:rFonts w:asciiTheme="minorHAnsi" w:hAnsiTheme="minorHAnsi" w:cstheme="minorHAnsi"/>
                <w:bCs/>
                <w:sz w:val="22"/>
                <w:szCs w:val="22"/>
              </w:rPr>
              <w:t>στην Κοινή Επιτροπή Παρακολούθησης.</w:t>
            </w:r>
          </w:p>
        </w:tc>
      </w:tr>
      <w:tr w:rsidR="00427D3D" w14:paraId="493E23D3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F24D32" w14:textId="77777777" w:rsidR="00427D3D" w:rsidRDefault="00427D3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8825D8" w14:textId="667AF68F" w:rsidR="00427D3D" w:rsidRPr="00AD47CD" w:rsidRDefault="00427D3D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720AF87" w14:textId="3E396699" w:rsidR="00427D3D" w:rsidRDefault="00427D3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93759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FAA2A3" w14:textId="5D339714" w:rsidR="00427D3D" w:rsidRPr="00EE5239" w:rsidRDefault="00427D3D" w:rsidP="00427D3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D3D"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νέων εκπροσώπων στην Κοινή Επιτροπή Παρακολούθησης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7D3D">
              <w:rPr>
                <w:rFonts w:asciiTheme="minorHAnsi" w:hAnsiTheme="minorHAnsi" w:cstheme="minorHAnsi"/>
                <w:bCs/>
                <w:sz w:val="22"/>
                <w:szCs w:val="22"/>
              </w:rPr>
              <w:t>Προγραμματικών Συμβάσεων.</w:t>
            </w:r>
          </w:p>
        </w:tc>
      </w:tr>
      <w:tr w:rsidR="003274DF" w14:paraId="5A01C799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6B1736" w14:textId="77777777" w:rsidR="003274DF" w:rsidRDefault="003274D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662B2F" w14:textId="3BF93F44" w:rsidR="003274DF" w:rsidRPr="00427D3D" w:rsidRDefault="003274DF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  Δ/ΝΣΗ ΤΕΧΝΙΚΩΝ ΕΡΓΩΝ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93AF99" w14:textId="7FD338E8" w:rsidR="003274DF" w:rsidRDefault="00236C9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94432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C44E6E" w14:textId="2F371569" w:rsidR="003274DF" w:rsidRPr="00427D3D" w:rsidRDefault="00236C9B" w:rsidP="00236C9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C9B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2ης παράτασης της προθεσμίας περαίωσης εργασιών μέχρι 04-05-2024 για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36C9B">
              <w:rPr>
                <w:rFonts w:asciiTheme="minorHAnsi" w:hAnsiTheme="minorHAnsi" w:cstheme="minorHAnsi"/>
                <w:bCs/>
                <w:sz w:val="22"/>
                <w:szCs w:val="22"/>
              </w:rPr>
              <w:t>εργολαβία: «ΚΟΜΒΟΙ ΣΤΗ ΣΥΜΒΟΛΗ ΠΑΡΑΔΡΟΜΩΝ ΔΥΤΙΚΑ ΚΑΙ ΑΝΑΤΟΛΙΚΑ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36C9B">
              <w:rPr>
                <w:rFonts w:asciiTheme="minorHAnsi" w:hAnsiTheme="minorHAnsi" w:cstheme="minorHAnsi"/>
                <w:bCs/>
                <w:sz w:val="22"/>
                <w:szCs w:val="22"/>
              </w:rPr>
              <w:t>ΑΥΤΟΚΙΝΗΤΟΔΡΟΜΟΥ ΚΟΡΙΝΘΟΥ- ΤΡΙΠΟΛΗΣ- ΚΑΛΑΜΑΤΑΣ ΜΕ ΤΗΝ ΟΔΟ ΝΑΥΠΛΙΟΥ»,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36C9B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2.250.000,00 €</w:t>
            </w:r>
          </w:p>
        </w:tc>
      </w:tr>
      <w:tr w:rsidR="00FA55FB" w14:paraId="2824876D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84D4E6" w14:textId="77777777" w:rsidR="00FA55FB" w:rsidRDefault="00FA55FB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E86A60" w14:textId="7A50E087" w:rsidR="00FA55FB" w:rsidRDefault="00024A04" w:rsidP="009A7784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ΓΡΑΦΕΙΟ ΠΕΡΙΦΕΡΕΙΑΡΧΗ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45B126" w14:textId="08BE1B81" w:rsidR="00FA55FB" w:rsidRDefault="00874FE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96310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A9FB90" w14:textId="3F7912BE" w:rsidR="00FA55FB" w:rsidRPr="009A7784" w:rsidRDefault="00FA55FB" w:rsidP="00236C9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5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μετακίνησης </w:t>
            </w:r>
            <w:r w:rsidR="00B53745" w:rsidRPr="00B53745">
              <w:rPr>
                <w:rFonts w:asciiTheme="minorHAnsi" w:hAnsiTheme="minorHAnsi" w:cstheme="minorHAnsi"/>
                <w:bCs/>
                <w:sz w:val="22"/>
                <w:szCs w:val="22"/>
              </w:rPr>
              <w:t>του Περιφερειάρχη στο εξωτερικό</w:t>
            </w:r>
            <w:r w:rsidR="00B5374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D79DC" w14:paraId="39BE5558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DA0CD3" w14:textId="77777777" w:rsidR="00FD79DC" w:rsidRDefault="00FD79D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72AE188" w14:textId="5B7511E5" w:rsidR="009A7784" w:rsidRPr="009A7784" w:rsidRDefault="009A7784" w:rsidP="009A7784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ΓΡΑΦΕΙΟ ΑΝΑΠΛΗΡΩΤΗ ΠΕΡΙΦΕΡΕΙΑΡΧΗ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1AE0F2" w14:textId="516948D0" w:rsidR="00FD79DC" w:rsidRDefault="009A778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95555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3462C8" w14:textId="1E7E6B11" w:rsidR="00FD79DC" w:rsidRPr="007870AA" w:rsidRDefault="00FD79DC" w:rsidP="00236C9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778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μετακίνησης του Αναπληρωτή Περιφερειάρχη στο εξωτερικό.</w:t>
            </w:r>
          </w:p>
        </w:tc>
      </w:tr>
      <w:tr w:rsidR="0074698A" w14:paraId="06EAFA79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1A0D9D" w14:textId="77777777" w:rsidR="0074698A" w:rsidRDefault="0074698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89014D" w14:textId="1122FD86" w:rsidR="0074698A" w:rsidRDefault="0074698A" w:rsidP="009A7784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</w:t>
            </w:r>
            <w:r w:rsidR="00E55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Δ/ΝΣΗ ΤΟΥΡΙΣΜΟΥ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03A277" w14:textId="63DABC7C" w:rsidR="0074698A" w:rsidRDefault="000A200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95647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57C919D" w14:textId="08DF9B15" w:rsidR="0074698A" w:rsidRPr="009A7784" w:rsidRDefault="0085181E" w:rsidP="0074698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εκτός έδρας μετακινήσεως εκπροσώπου της Περιφέρειας Πελοποννήσου για τη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συμμετοχή στο Διεθνές Συνέδριο “</w:t>
            </w:r>
            <w:proofErr w:type="spellStart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Digital</w:t>
            </w:r>
            <w:proofErr w:type="spellEnd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Tourism</w:t>
            </w:r>
            <w:proofErr w:type="spellEnd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Think</w:t>
            </w:r>
            <w:proofErr w:type="spellEnd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Tank</w:t>
            </w:r>
            <w:proofErr w:type="spellEnd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X </w:t>
            </w:r>
            <w:proofErr w:type="spellStart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Design</w:t>
            </w:r>
            <w:proofErr w:type="spellEnd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Week</w:t>
            </w:r>
            <w:proofErr w:type="spellEnd"/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”, που θα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200A">
              <w:rPr>
                <w:rFonts w:asciiTheme="minorHAnsi" w:hAnsiTheme="minorHAnsi" w:cstheme="minorHAnsi"/>
                <w:bCs/>
                <w:sz w:val="22"/>
                <w:szCs w:val="22"/>
              </w:rPr>
              <w:t>διεξαχθεί στην Αθήνα, κατά το χρονικό διάστημα 10-12 Απριλίου 2024.</w:t>
            </w:r>
          </w:p>
        </w:tc>
      </w:tr>
      <w:tr w:rsidR="000A200A" w14:paraId="7BA1018D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E1CF07" w14:textId="77777777" w:rsidR="000A200A" w:rsidRDefault="000A200A" w:rsidP="000A200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D00A3F" w14:textId="349D75DC" w:rsidR="000A200A" w:rsidRDefault="000A200A" w:rsidP="000A200A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Δ/ΝΣΗ ΤΟΥΡΙΣΜΟΥ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25F066" w14:textId="118DDE5A" w:rsidR="000A200A" w:rsidRDefault="000A200A" w:rsidP="000A200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95606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8446E7" w14:textId="4F28B0F2" w:rsidR="000A200A" w:rsidRPr="0074698A" w:rsidRDefault="0085181E" w:rsidP="000A200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98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εκτός έδρας μετακινήσεως εκπροσώπου της Περιφέρειας Πελοποννήσου για τη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698A">
              <w:rPr>
                <w:rFonts w:asciiTheme="minorHAnsi" w:hAnsiTheme="minorHAnsi" w:cstheme="minorHAnsi"/>
                <w:bCs/>
                <w:sz w:val="22"/>
                <w:szCs w:val="22"/>
              </w:rPr>
              <w:t>συμμετοχή στο Διεθνές Συνέδριο “</w:t>
            </w:r>
            <w:proofErr w:type="spellStart"/>
            <w:r w:rsidRPr="0074698A">
              <w:rPr>
                <w:rFonts w:asciiTheme="minorHAnsi" w:hAnsiTheme="minorHAnsi" w:cstheme="minorHAnsi"/>
                <w:bCs/>
                <w:sz w:val="22"/>
                <w:szCs w:val="22"/>
              </w:rPr>
              <w:t>Routes</w:t>
            </w:r>
            <w:proofErr w:type="spellEnd"/>
            <w:r w:rsidRPr="007469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Europe 2024”, που θα διεξαχθεί στην Δανία, κατά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698A">
              <w:rPr>
                <w:rFonts w:asciiTheme="minorHAnsi" w:hAnsiTheme="minorHAnsi" w:cstheme="minorHAnsi"/>
                <w:bCs/>
                <w:sz w:val="22"/>
                <w:szCs w:val="22"/>
              </w:rPr>
              <w:t>το χρονικό διάστημα 22-24 Απριλίου 2024.</w:t>
            </w:r>
          </w:p>
        </w:tc>
      </w:tr>
      <w:tr w:rsidR="00503FD3" w14:paraId="5C6D836B" w14:textId="77777777" w:rsidTr="003274DF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E97D62" w14:textId="7B6EDB9D" w:rsidR="00503FD3" w:rsidRDefault="00503FD3" w:rsidP="000A200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7BF644" w14:textId="3B58F553" w:rsidR="00503FD3" w:rsidRDefault="00503FD3" w:rsidP="000A200A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ΝΟΜΙΚΗ ΥΠΗΡΕΣΙΑ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5A34F98" w14:textId="77777777" w:rsidR="00503FD3" w:rsidRDefault="00503FD3" w:rsidP="000A200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31393C" w14:textId="7DBB7918" w:rsidR="00503FD3" w:rsidRPr="0074698A" w:rsidRDefault="00D32612" w:rsidP="000A200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δικηγόρου και έγκριση αμοιβής του.</w:t>
            </w:r>
          </w:p>
        </w:tc>
      </w:tr>
    </w:tbl>
    <w:p w14:paraId="09BFFEED" w14:textId="5D9ADB31" w:rsidR="004227F5" w:rsidRPr="00D32612" w:rsidRDefault="004227F5">
      <w:pPr>
        <w:spacing w:line="276" w:lineRule="auto"/>
      </w:pPr>
    </w:p>
    <w:sectPr w:rsidR="004227F5" w:rsidRPr="00D32612">
      <w:headerReference w:type="default" r:id="rId14"/>
      <w:footerReference w:type="default" r:id="rId15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AEDD" w14:textId="77777777" w:rsidR="00C75001" w:rsidRDefault="00C75001">
      <w:r>
        <w:separator/>
      </w:r>
    </w:p>
  </w:endnote>
  <w:endnote w:type="continuationSeparator" w:id="0">
    <w:p w14:paraId="2DCA64F1" w14:textId="77777777" w:rsidR="00C75001" w:rsidRDefault="00C7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64EF" w14:textId="77777777" w:rsidR="00C75001" w:rsidRDefault="00C75001">
      <w:r>
        <w:separator/>
      </w:r>
    </w:p>
  </w:footnote>
  <w:footnote w:type="continuationSeparator" w:id="0">
    <w:p w14:paraId="26354497" w14:textId="77777777" w:rsidR="00C75001" w:rsidRDefault="00C7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0AA7C253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4822E7">
            <w:rPr>
              <w:rFonts w:asciiTheme="minorHAnsi" w:hAnsiTheme="minorHAnsi" w:cstheme="minorHAnsi"/>
              <w:b/>
              <w:bCs/>
              <w:sz w:val="22"/>
              <w:szCs w:val="22"/>
            </w:rPr>
            <w:t>Τετάρτη 03 Απριλίου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24A04"/>
    <w:rsid w:val="000254F5"/>
    <w:rsid w:val="00027A49"/>
    <w:rsid w:val="0003394A"/>
    <w:rsid w:val="00051A3B"/>
    <w:rsid w:val="0006603C"/>
    <w:rsid w:val="00067914"/>
    <w:rsid w:val="00090628"/>
    <w:rsid w:val="00096239"/>
    <w:rsid w:val="000A200A"/>
    <w:rsid w:val="000C1274"/>
    <w:rsid w:val="000E0C27"/>
    <w:rsid w:val="00100FE2"/>
    <w:rsid w:val="001361B4"/>
    <w:rsid w:val="00141E2A"/>
    <w:rsid w:val="00174248"/>
    <w:rsid w:val="00183DB5"/>
    <w:rsid w:val="001A1BD3"/>
    <w:rsid w:val="001F03E4"/>
    <w:rsid w:val="001F1C85"/>
    <w:rsid w:val="001F75E0"/>
    <w:rsid w:val="002330B4"/>
    <w:rsid w:val="00236C9B"/>
    <w:rsid w:val="00243D6D"/>
    <w:rsid w:val="00264C57"/>
    <w:rsid w:val="00293E65"/>
    <w:rsid w:val="003274DF"/>
    <w:rsid w:val="003536B3"/>
    <w:rsid w:val="00366EF8"/>
    <w:rsid w:val="003E74BA"/>
    <w:rsid w:val="00405F4F"/>
    <w:rsid w:val="004227F5"/>
    <w:rsid w:val="00427D3D"/>
    <w:rsid w:val="004822E7"/>
    <w:rsid w:val="004B543F"/>
    <w:rsid w:val="005027CC"/>
    <w:rsid w:val="00503FD3"/>
    <w:rsid w:val="00551D66"/>
    <w:rsid w:val="0057087C"/>
    <w:rsid w:val="005B464C"/>
    <w:rsid w:val="005C5888"/>
    <w:rsid w:val="005E3610"/>
    <w:rsid w:val="00620A71"/>
    <w:rsid w:val="00633ED4"/>
    <w:rsid w:val="00661F58"/>
    <w:rsid w:val="0067753C"/>
    <w:rsid w:val="00694C3A"/>
    <w:rsid w:val="006976CF"/>
    <w:rsid w:val="006B5EF4"/>
    <w:rsid w:val="007130D9"/>
    <w:rsid w:val="00716BE1"/>
    <w:rsid w:val="00721296"/>
    <w:rsid w:val="007413EF"/>
    <w:rsid w:val="0074698A"/>
    <w:rsid w:val="00770B93"/>
    <w:rsid w:val="0077580E"/>
    <w:rsid w:val="007870AA"/>
    <w:rsid w:val="00816496"/>
    <w:rsid w:val="00821722"/>
    <w:rsid w:val="00826778"/>
    <w:rsid w:val="00837104"/>
    <w:rsid w:val="00840D29"/>
    <w:rsid w:val="0085181E"/>
    <w:rsid w:val="00852856"/>
    <w:rsid w:val="00860BDE"/>
    <w:rsid w:val="00874FEA"/>
    <w:rsid w:val="008E3EEF"/>
    <w:rsid w:val="009067C9"/>
    <w:rsid w:val="009517C3"/>
    <w:rsid w:val="00990163"/>
    <w:rsid w:val="00991BDB"/>
    <w:rsid w:val="009A7784"/>
    <w:rsid w:val="009B3EA1"/>
    <w:rsid w:val="009C7DDA"/>
    <w:rsid w:val="009D71AD"/>
    <w:rsid w:val="009E6E41"/>
    <w:rsid w:val="00A64D47"/>
    <w:rsid w:val="00A8237E"/>
    <w:rsid w:val="00AA57C9"/>
    <w:rsid w:val="00AC58BB"/>
    <w:rsid w:val="00AD3C3A"/>
    <w:rsid w:val="00AD47CD"/>
    <w:rsid w:val="00AE47B4"/>
    <w:rsid w:val="00B074A8"/>
    <w:rsid w:val="00B27C41"/>
    <w:rsid w:val="00B47F35"/>
    <w:rsid w:val="00B53745"/>
    <w:rsid w:val="00BE5D9C"/>
    <w:rsid w:val="00C4008D"/>
    <w:rsid w:val="00C75001"/>
    <w:rsid w:val="00C85A2C"/>
    <w:rsid w:val="00CB205B"/>
    <w:rsid w:val="00CB5925"/>
    <w:rsid w:val="00CF433F"/>
    <w:rsid w:val="00D0136F"/>
    <w:rsid w:val="00D24F9A"/>
    <w:rsid w:val="00D26E37"/>
    <w:rsid w:val="00D32612"/>
    <w:rsid w:val="00D86396"/>
    <w:rsid w:val="00DB2481"/>
    <w:rsid w:val="00DC67BF"/>
    <w:rsid w:val="00E13ED7"/>
    <w:rsid w:val="00E40C27"/>
    <w:rsid w:val="00E46802"/>
    <w:rsid w:val="00E5273A"/>
    <w:rsid w:val="00E55734"/>
    <w:rsid w:val="00E9099F"/>
    <w:rsid w:val="00EE5239"/>
    <w:rsid w:val="00EE5B7B"/>
    <w:rsid w:val="00F9515F"/>
    <w:rsid w:val="00FA55FB"/>
    <w:rsid w:val="00FD16C2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logeropoulou@arcad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1602</Words>
  <Characters>8654</Characters>
  <Application>Microsoft Office Word</Application>
  <DocSecurity>0</DocSecurity>
  <Lines>72</Lines>
  <Paragraphs>20</Paragraphs>
  <ScaleCrop>false</ScaleCrop>
  <Company>PEP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ΑΓΝΗ ΑΛΕΜΗ</cp:lastModifiedBy>
  <cp:revision>247</cp:revision>
  <cp:lastPrinted>2024-01-02T09:36:00Z</cp:lastPrinted>
  <dcterms:created xsi:type="dcterms:W3CDTF">2024-03-26T06:11:00Z</dcterms:created>
  <dcterms:modified xsi:type="dcterms:W3CDTF">2024-03-29T06:59:00Z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